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1C" w:rsidRDefault="008A7D1C" w:rsidP="008A7D1C">
      <w:pPr>
        <w:shd w:val="clear" w:color="auto" w:fill="FFFFFF"/>
        <w:spacing w:line="240" w:lineRule="atLeast"/>
        <w:ind w:left="5812" w:right="-285"/>
        <w:rPr>
          <w:i/>
        </w:rPr>
      </w:pPr>
      <w:r>
        <w:rPr>
          <w:i/>
        </w:rPr>
        <w:t xml:space="preserve">Приложение № </w:t>
      </w:r>
      <w:r w:rsidR="00F3564A">
        <w:rPr>
          <w:i/>
        </w:rPr>
        <w:t>4</w:t>
      </w:r>
    </w:p>
    <w:p w:rsidR="008A7D1C" w:rsidRDefault="008A7D1C" w:rsidP="008A7D1C">
      <w:pPr>
        <w:shd w:val="clear" w:color="auto" w:fill="FFFFFF"/>
        <w:spacing w:line="240" w:lineRule="atLeast"/>
        <w:ind w:left="5812" w:right="-285"/>
        <w:jc w:val="both"/>
        <w:rPr>
          <w:i/>
        </w:rPr>
      </w:pPr>
      <w:r>
        <w:rPr>
          <w:i/>
        </w:rPr>
        <w:t xml:space="preserve">к протоколу Общего собрания членов </w:t>
      </w:r>
    </w:p>
    <w:p w:rsidR="008A7D1C" w:rsidRDefault="008A7D1C" w:rsidP="008A7D1C">
      <w:pPr>
        <w:shd w:val="clear" w:color="auto" w:fill="FFFFFF"/>
        <w:spacing w:line="240" w:lineRule="atLeast"/>
        <w:ind w:left="5812" w:right="-285"/>
        <w:jc w:val="both"/>
        <w:rPr>
          <w:i/>
        </w:rPr>
      </w:pPr>
      <w:r>
        <w:rPr>
          <w:i/>
        </w:rPr>
        <w:t>Союза строителей Камчатки</w:t>
      </w:r>
    </w:p>
    <w:p w:rsidR="008A7D1C" w:rsidRDefault="00F3564A" w:rsidP="008A7D1C">
      <w:pPr>
        <w:shd w:val="clear" w:color="auto" w:fill="FFFFFF"/>
        <w:spacing w:line="240" w:lineRule="atLeast"/>
        <w:ind w:left="5812" w:right="-285"/>
        <w:jc w:val="both"/>
      </w:pPr>
      <w:r>
        <w:rPr>
          <w:i/>
        </w:rPr>
        <w:t>от 2</w:t>
      </w:r>
      <w:r w:rsidR="00045917">
        <w:rPr>
          <w:i/>
        </w:rPr>
        <w:t>9</w:t>
      </w:r>
      <w:bookmarkStart w:id="0" w:name="_GoBack"/>
      <w:bookmarkEnd w:id="0"/>
      <w:r w:rsidR="008A7D1C">
        <w:rPr>
          <w:i/>
        </w:rPr>
        <w:t>.06.2017 г. № 27</w:t>
      </w:r>
    </w:p>
    <w:p w:rsidR="008A7D1C" w:rsidRDefault="008A7D1C" w:rsidP="00F803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803CD" w:rsidRPr="00644F06" w:rsidRDefault="00F803CD" w:rsidP="00F803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44F06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F803CD" w:rsidRDefault="00F803CD" w:rsidP="00F803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44F06">
        <w:rPr>
          <w:b/>
          <w:sz w:val="32"/>
          <w:szCs w:val="32"/>
        </w:rPr>
        <w:t>(Союз строителей Камчатки)</w:t>
      </w:r>
    </w:p>
    <w:p w:rsidR="00A47F92" w:rsidRPr="00A558C4" w:rsidRDefault="00A47F92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7546E1" w:rsidRDefault="007546E1" w:rsidP="00AE5A20">
      <w:pPr>
        <w:ind w:right="-2"/>
        <w:jc w:val="center"/>
        <w:rPr>
          <w:b/>
          <w:bCs/>
          <w:sz w:val="28"/>
          <w:szCs w:val="28"/>
        </w:rPr>
      </w:pPr>
    </w:p>
    <w:p w:rsidR="007546E1" w:rsidRDefault="007546E1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B1030A" w:rsidRDefault="00B1030A" w:rsidP="00AE5A20">
      <w:pPr>
        <w:ind w:right="-2"/>
        <w:jc w:val="center"/>
        <w:rPr>
          <w:b/>
          <w:bCs/>
          <w:sz w:val="28"/>
          <w:szCs w:val="28"/>
        </w:rPr>
      </w:pPr>
    </w:p>
    <w:p w:rsidR="00162B32" w:rsidRPr="007E606E" w:rsidRDefault="007E606E" w:rsidP="00AE5A20">
      <w:pPr>
        <w:ind w:right="-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Квалификационные т</w:t>
      </w:r>
      <w:r w:rsidR="00B1030A" w:rsidRPr="007E606E">
        <w:rPr>
          <w:b/>
          <w:bCs/>
          <w:sz w:val="36"/>
          <w:szCs w:val="36"/>
        </w:rPr>
        <w:t>ребования</w:t>
      </w:r>
    </w:p>
    <w:p w:rsidR="00E738B3" w:rsidRPr="007E606E" w:rsidRDefault="00E738B3" w:rsidP="00AE5A20">
      <w:pPr>
        <w:ind w:right="-2"/>
        <w:jc w:val="center"/>
        <w:rPr>
          <w:b/>
          <w:bCs/>
          <w:sz w:val="36"/>
          <w:szCs w:val="36"/>
        </w:rPr>
      </w:pPr>
      <w:r w:rsidRPr="007E606E">
        <w:rPr>
          <w:b/>
          <w:bCs/>
          <w:sz w:val="36"/>
          <w:szCs w:val="36"/>
        </w:rPr>
        <w:t xml:space="preserve">к членам </w:t>
      </w:r>
      <w:r w:rsidR="00B1030A" w:rsidRPr="007E606E">
        <w:rPr>
          <w:b/>
          <w:bCs/>
          <w:sz w:val="36"/>
          <w:szCs w:val="36"/>
        </w:rPr>
        <w:t>Союза строителей Камчатки</w:t>
      </w:r>
      <w:r w:rsidRPr="007E606E">
        <w:rPr>
          <w:b/>
          <w:bCs/>
          <w:sz w:val="36"/>
          <w:szCs w:val="36"/>
        </w:rPr>
        <w:t xml:space="preserve">, выполняющим </w:t>
      </w:r>
      <w:r w:rsidR="00B1030A" w:rsidRPr="007E606E">
        <w:rPr>
          <w:b/>
          <w:bCs/>
          <w:sz w:val="36"/>
          <w:szCs w:val="36"/>
        </w:rPr>
        <w:t xml:space="preserve">строительство, </w:t>
      </w:r>
      <w:r w:rsidRPr="007E606E">
        <w:rPr>
          <w:b/>
          <w:bCs/>
          <w:sz w:val="36"/>
          <w:szCs w:val="36"/>
        </w:rPr>
        <w:t>реконструкцию, капитальный ремонт особо опасных, технически сложных и уникальных объектов</w:t>
      </w:r>
      <w:r w:rsidR="00B1030A" w:rsidRPr="007E606E">
        <w:rPr>
          <w:b/>
          <w:bCs/>
          <w:sz w:val="36"/>
          <w:szCs w:val="36"/>
        </w:rPr>
        <w:t>.</w:t>
      </w:r>
    </w:p>
    <w:p w:rsidR="00162B32" w:rsidRPr="00A558C4" w:rsidRDefault="00162B32" w:rsidP="00162B32">
      <w:pPr>
        <w:pStyle w:val="ConsPlusNormal"/>
        <w:ind w:firstLine="540"/>
        <w:jc w:val="both"/>
      </w:pPr>
    </w:p>
    <w:p w:rsidR="00353767" w:rsidRDefault="00353767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B1030A" w:rsidRDefault="00B1030A" w:rsidP="00162B32">
      <w:pPr>
        <w:pStyle w:val="ConsPlusNormal"/>
        <w:ind w:firstLine="540"/>
        <w:jc w:val="both"/>
      </w:pPr>
    </w:p>
    <w:p w:rsidR="00F803CD" w:rsidRDefault="00F803CD" w:rsidP="00F803CD">
      <w:pPr>
        <w:pStyle w:val="Style1"/>
        <w:ind w:left="0"/>
        <w:rPr>
          <w:b/>
        </w:rPr>
      </w:pPr>
      <w:r>
        <w:rPr>
          <w:b/>
        </w:rPr>
        <w:t>г. Петропавловск-Камчатский</w:t>
      </w:r>
    </w:p>
    <w:p w:rsidR="00F803CD" w:rsidRPr="00787027" w:rsidRDefault="00F803CD" w:rsidP="00F803CD">
      <w:pPr>
        <w:pStyle w:val="Style1"/>
        <w:ind w:left="0"/>
        <w:rPr>
          <w:b/>
        </w:rPr>
      </w:pPr>
      <w:r>
        <w:rPr>
          <w:b/>
        </w:rPr>
        <w:t>2017 г.</w:t>
      </w:r>
    </w:p>
    <w:p w:rsidR="00162B32" w:rsidRPr="00B1030A" w:rsidRDefault="009F182F" w:rsidP="00162B32">
      <w:pPr>
        <w:pStyle w:val="ConsPlusNormal"/>
        <w:jc w:val="center"/>
        <w:rPr>
          <w:b/>
        </w:rPr>
      </w:pPr>
      <w:r>
        <w:rPr>
          <w:b/>
        </w:rPr>
        <w:lastRenderedPageBreak/>
        <w:t>1</w:t>
      </w:r>
      <w:r w:rsidR="00162B32" w:rsidRPr="00B1030A">
        <w:rPr>
          <w:b/>
        </w:rPr>
        <w:t>. Общие положения</w:t>
      </w:r>
      <w:r w:rsidR="00B1030A">
        <w:rPr>
          <w:b/>
        </w:rPr>
        <w:t>.</w:t>
      </w:r>
    </w:p>
    <w:p w:rsidR="00162B32" w:rsidRPr="00A558C4" w:rsidRDefault="00162B32" w:rsidP="00162B32">
      <w:pPr>
        <w:pStyle w:val="ConsPlusNormal"/>
        <w:ind w:firstLine="709"/>
        <w:jc w:val="both"/>
      </w:pPr>
    </w:p>
    <w:p w:rsidR="00D348A2" w:rsidRDefault="00162B32" w:rsidP="00D348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C90">
        <w:rPr>
          <w:b/>
          <w:sz w:val="28"/>
          <w:szCs w:val="28"/>
        </w:rPr>
        <w:t>1.</w:t>
      </w:r>
      <w:r w:rsidR="009F182F" w:rsidRPr="004D7C90">
        <w:rPr>
          <w:b/>
          <w:sz w:val="28"/>
          <w:szCs w:val="28"/>
        </w:rPr>
        <w:t>1.</w:t>
      </w:r>
      <w:r w:rsidRPr="00A558C4">
        <w:rPr>
          <w:sz w:val="28"/>
          <w:szCs w:val="28"/>
        </w:rPr>
        <w:t xml:space="preserve"> </w:t>
      </w:r>
      <w:proofErr w:type="gramStart"/>
      <w:r w:rsidRPr="00A558C4">
        <w:rPr>
          <w:rFonts w:eastAsiaTheme="minorHAnsi"/>
          <w:sz w:val="28"/>
          <w:szCs w:val="28"/>
          <w:lang w:eastAsia="en-US"/>
        </w:rPr>
        <w:t xml:space="preserve">Настоящие </w:t>
      </w:r>
      <w:r w:rsidR="004D7C90">
        <w:rPr>
          <w:rFonts w:eastAsiaTheme="minorHAnsi"/>
          <w:sz w:val="28"/>
          <w:szCs w:val="28"/>
          <w:lang w:eastAsia="en-US"/>
        </w:rPr>
        <w:t xml:space="preserve">Квалификационные требования </w:t>
      </w:r>
      <w:r w:rsidRPr="00A558C4">
        <w:rPr>
          <w:bCs/>
          <w:sz w:val="28"/>
          <w:szCs w:val="28"/>
        </w:rPr>
        <w:t xml:space="preserve">к членам </w:t>
      </w:r>
      <w:r w:rsidR="00B1030A">
        <w:rPr>
          <w:bCs/>
          <w:sz w:val="28"/>
          <w:szCs w:val="28"/>
        </w:rPr>
        <w:t>Союза «Саморегулируемая организация строителей Камчатки» (далее – Союз)</w:t>
      </w:r>
      <w:r w:rsidRPr="00A558C4">
        <w:rPr>
          <w:bCs/>
          <w:sz w:val="28"/>
          <w:szCs w:val="28"/>
        </w:rPr>
        <w:t>, выполняющим строительство, реконструкцию, капитальный ремонт особо опасных, технически сложных и уникальных объектов</w:t>
      </w:r>
      <w:r w:rsidR="001043FA">
        <w:rPr>
          <w:bCs/>
          <w:sz w:val="28"/>
          <w:szCs w:val="28"/>
        </w:rPr>
        <w:t xml:space="preserve"> </w:t>
      </w:r>
      <w:r w:rsidR="001043FA">
        <w:rPr>
          <w:rFonts w:eastAsiaTheme="minorHAnsi"/>
          <w:sz w:val="28"/>
          <w:szCs w:val="28"/>
          <w:lang w:eastAsia="en-US"/>
        </w:rPr>
        <w:t xml:space="preserve">(далее – </w:t>
      </w:r>
      <w:r w:rsidR="001043FA" w:rsidRPr="00A558C4">
        <w:rPr>
          <w:rFonts w:eastAsiaTheme="minorHAnsi"/>
          <w:sz w:val="28"/>
          <w:szCs w:val="28"/>
          <w:lang w:eastAsia="en-US"/>
        </w:rPr>
        <w:t>требования</w:t>
      </w:r>
      <w:r w:rsidR="001043FA">
        <w:rPr>
          <w:rFonts w:eastAsiaTheme="minorHAnsi"/>
          <w:sz w:val="28"/>
          <w:szCs w:val="28"/>
          <w:lang w:eastAsia="en-US"/>
        </w:rPr>
        <w:t>)</w:t>
      </w:r>
      <w:r w:rsidR="001043FA" w:rsidRPr="00A558C4">
        <w:rPr>
          <w:rFonts w:eastAsiaTheme="minorHAnsi"/>
          <w:sz w:val="28"/>
          <w:szCs w:val="28"/>
          <w:lang w:eastAsia="en-US"/>
        </w:rPr>
        <w:t xml:space="preserve"> </w:t>
      </w:r>
      <w:r w:rsidRPr="00A558C4">
        <w:rPr>
          <w:bCs/>
          <w:sz w:val="28"/>
          <w:szCs w:val="28"/>
        </w:rPr>
        <w:t xml:space="preserve">  </w:t>
      </w:r>
      <w:r w:rsidR="006E66D1" w:rsidRPr="004D7C90">
        <w:rPr>
          <w:sz w:val="28"/>
          <w:szCs w:val="28"/>
        </w:rPr>
        <w:t>разработаны</w:t>
      </w:r>
      <w:r w:rsidR="006E66D1">
        <w:rPr>
          <w:sz w:val="28"/>
          <w:szCs w:val="28"/>
        </w:rPr>
        <w:t xml:space="preserve"> в соответствии с </w:t>
      </w:r>
      <w:r w:rsidR="006E66D1" w:rsidRPr="006E66D1">
        <w:rPr>
          <w:sz w:val="28"/>
          <w:szCs w:val="28"/>
        </w:rPr>
        <w:t>Постановление</w:t>
      </w:r>
      <w:r w:rsidR="006E66D1">
        <w:rPr>
          <w:sz w:val="28"/>
          <w:szCs w:val="28"/>
        </w:rPr>
        <w:t>м</w:t>
      </w:r>
      <w:r w:rsidR="006E66D1" w:rsidRPr="006E66D1">
        <w:rPr>
          <w:sz w:val="28"/>
          <w:szCs w:val="28"/>
        </w:rPr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6E66D1" w:rsidRPr="006E66D1">
        <w:rPr>
          <w:sz w:val="28"/>
          <w:szCs w:val="28"/>
        </w:rPr>
        <w:t xml:space="preserve"> и уникальных объектов"</w:t>
      </w:r>
      <w:r w:rsidR="006E66D1">
        <w:rPr>
          <w:sz w:val="28"/>
          <w:szCs w:val="28"/>
        </w:rPr>
        <w:t xml:space="preserve"> и устанавливают </w:t>
      </w:r>
      <w:r w:rsidR="006E66D1">
        <w:rPr>
          <w:rFonts w:eastAsiaTheme="minorHAnsi"/>
          <w:sz w:val="28"/>
          <w:szCs w:val="28"/>
          <w:lang w:eastAsia="en-US"/>
        </w:rPr>
        <w:t xml:space="preserve">требования к членам Союза, выполняющим строительство, реконструкцию и капитальный ремонт </w:t>
      </w:r>
      <w:r w:rsidR="00D348A2">
        <w:rPr>
          <w:rFonts w:eastAsiaTheme="minorHAnsi"/>
          <w:sz w:val="28"/>
          <w:szCs w:val="28"/>
          <w:lang w:eastAsia="en-US"/>
        </w:rPr>
        <w:t>особо опасных, технически сложных и уникальных объектов капитального строительства, за исключением объектов использования атомной энергии.</w:t>
      </w:r>
    </w:p>
    <w:p w:rsidR="004D7C90" w:rsidRDefault="004D7C90" w:rsidP="00B10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7F6C" w:rsidRPr="009F182F" w:rsidRDefault="009F182F" w:rsidP="00A57F6C">
      <w:pPr>
        <w:pStyle w:val="ConsPlusNormal"/>
        <w:jc w:val="center"/>
        <w:rPr>
          <w:b/>
        </w:rPr>
      </w:pPr>
      <w:r>
        <w:rPr>
          <w:b/>
        </w:rPr>
        <w:t>2</w:t>
      </w:r>
      <w:r w:rsidR="00A57F6C" w:rsidRPr="009F182F">
        <w:rPr>
          <w:b/>
        </w:rPr>
        <w:t xml:space="preserve">. </w:t>
      </w:r>
      <w:r w:rsidRPr="009F182F">
        <w:rPr>
          <w:b/>
        </w:rPr>
        <w:t>Т</w:t>
      </w:r>
      <w:r w:rsidR="00A57F6C" w:rsidRPr="009F182F">
        <w:rPr>
          <w:b/>
        </w:rPr>
        <w:t xml:space="preserve">ребования к членам </w:t>
      </w:r>
      <w:r w:rsidRPr="009F182F">
        <w:rPr>
          <w:b/>
        </w:rPr>
        <w:t>Союза</w:t>
      </w:r>
      <w:r w:rsidR="00A57F6C" w:rsidRPr="009F182F">
        <w:rPr>
          <w:b/>
        </w:rPr>
        <w:t>, 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  <w:r w:rsidRPr="009F182F">
        <w:rPr>
          <w:b/>
        </w:rPr>
        <w:t>.</w:t>
      </w:r>
    </w:p>
    <w:p w:rsidR="00353767" w:rsidRPr="00A558C4" w:rsidRDefault="00353767" w:rsidP="00353767">
      <w:pPr>
        <w:pStyle w:val="ConsPlusNormal"/>
        <w:ind w:firstLine="709"/>
        <w:jc w:val="both"/>
      </w:pPr>
    </w:p>
    <w:p w:rsidR="006E66D1" w:rsidRDefault="009F182F" w:rsidP="006E66D1">
      <w:pPr>
        <w:pStyle w:val="ConsPlusNormal"/>
        <w:ind w:firstLine="709"/>
        <w:jc w:val="both"/>
      </w:pPr>
      <w:r w:rsidRPr="009F182F">
        <w:rPr>
          <w:b/>
        </w:rPr>
        <w:t>2</w:t>
      </w:r>
      <w:r w:rsidR="00A57F6C" w:rsidRPr="009F182F">
        <w:rPr>
          <w:b/>
        </w:rPr>
        <w:t>.</w:t>
      </w:r>
      <w:r w:rsidRPr="009F182F">
        <w:rPr>
          <w:b/>
        </w:rPr>
        <w:t>1.</w:t>
      </w:r>
      <w:r w:rsidR="00A57F6C" w:rsidRPr="00A558C4">
        <w:t xml:space="preserve"> </w:t>
      </w:r>
      <w:r w:rsidR="006E66D1">
        <w:t>Требованиями к члену Союза,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6E66D1" w:rsidRDefault="006E66D1" w:rsidP="006E66D1">
      <w:pPr>
        <w:pStyle w:val="ConsPlusNormal"/>
        <w:ind w:firstLine="851"/>
        <w:jc w:val="both"/>
      </w:pPr>
      <w:r w:rsidRPr="006E66D1">
        <w:rPr>
          <w:b/>
        </w:rPr>
        <w:t>2.1.1.</w:t>
      </w:r>
      <w:r>
        <w:t xml:space="preserve"> наличие у члена Союза в штате по месту основной работы:</w:t>
      </w:r>
    </w:p>
    <w:p w:rsidR="006E66D1" w:rsidRDefault="006E66D1" w:rsidP="006E66D1">
      <w:pPr>
        <w:pStyle w:val="ConsPlusNormal"/>
        <w:ind w:firstLine="851"/>
        <w:jc w:val="both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>
        <w:t xml:space="preserve">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6E66D1" w:rsidRDefault="006E66D1" w:rsidP="006E66D1">
      <w:pPr>
        <w:pStyle w:val="ConsPlusNormal"/>
        <w:ind w:firstLine="851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</w:t>
      </w:r>
      <w:r>
        <w:lastRenderedPageBreak/>
        <w:t>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6E66D1" w:rsidRDefault="006E66D1" w:rsidP="006E66D1">
      <w:pPr>
        <w:pStyle w:val="ConsPlusNormal"/>
        <w:ind w:firstLine="851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6E66D1" w:rsidRDefault="006E66D1" w:rsidP="006E66D1">
      <w:pPr>
        <w:pStyle w:val="ConsPlusNormal"/>
        <w:ind w:firstLine="851"/>
        <w:jc w:val="both"/>
      </w:pPr>
      <w:proofErr w:type="gramStart"/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6E66D1" w:rsidRDefault="006E66D1" w:rsidP="006E66D1">
      <w:pPr>
        <w:pStyle w:val="ConsPlusNormal"/>
        <w:ind w:firstLine="851"/>
        <w:jc w:val="both"/>
      </w:pPr>
      <w:proofErr w:type="gramStart"/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6E66D1" w:rsidRDefault="006E66D1" w:rsidP="006E66D1">
      <w:pPr>
        <w:pStyle w:val="ConsPlusNormal"/>
        <w:ind w:firstLine="851"/>
        <w:jc w:val="both"/>
      </w:pPr>
      <w:r w:rsidRPr="006E66D1">
        <w:rPr>
          <w:b/>
        </w:rPr>
        <w:t>2.</w:t>
      </w:r>
      <w:r>
        <w:rPr>
          <w:b/>
        </w:rPr>
        <w:t>1</w:t>
      </w:r>
      <w:r w:rsidRPr="006E66D1">
        <w:rPr>
          <w:b/>
        </w:rPr>
        <w:t>.2.</w:t>
      </w:r>
      <w:r>
        <w:t xml:space="preserve">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6E66D1" w:rsidRDefault="006E66D1" w:rsidP="006E66D1">
      <w:pPr>
        <w:pStyle w:val="ConsPlusNormal"/>
        <w:ind w:firstLine="851"/>
        <w:jc w:val="both"/>
      </w:pPr>
      <w:r w:rsidRPr="006E66D1">
        <w:rPr>
          <w:b/>
        </w:rPr>
        <w:t>2.1.3.</w:t>
      </w:r>
      <w:r>
        <w:t xml:space="preserve"> повышение квалификации в области строительства руководителей и специалистов, осуществляемое не реже одного раза в 5 лет;</w:t>
      </w:r>
    </w:p>
    <w:p w:rsidR="006E66D1" w:rsidRDefault="006E66D1" w:rsidP="006E66D1">
      <w:pPr>
        <w:pStyle w:val="ConsPlusNormal"/>
        <w:ind w:firstLine="851"/>
        <w:jc w:val="both"/>
      </w:pPr>
      <w:r w:rsidRPr="006E66D1">
        <w:rPr>
          <w:b/>
        </w:rPr>
        <w:t>2.1.4.</w:t>
      </w:r>
      <w:r>
        <w:t xml:space="preserve"> наличие у члена Союза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</w:t>
      </w:r>
      <w:r>
        <w:lastRenderedPageBreak/>
        <w:t>замещение которых допускается только работниками, прошедшими такую аттестацию.</w:t>
      </w:r>
    </w:p>
    <w:p w:rsidR="006E66D1" w:rsidRDefault="006E66D1" w:rsidP="006E66D1">
      <w:pPr>
        <w:pStyle w:val="ConsPlusNormal"/>
        <w:ind w:firstLine="851"/>
        <w:jc w:val="both"/>
      </w:pPr>
    </w:p>
    <w:p w:rsidR="006E66D1" w:rsidRDefault="006E66D1" w:rsidP="006E66D1">
      <w:pPr>
        <w:pStyle w:val="ConsPlusNormal"/>
        <w:ind w:firstLine="709"/>
        <w:jc w:val="both"/>
      </w:pPr>
      <w:r w:rsidRPr="006E66D1">
        <w:rPr>
          <w:b/>
        </w:rPr>
        <w:t>2.2.</w:t>
      </w:r>
      <w:r>
        <w:t xml:space="preserve"> </w:t>
      </w:r>
      <w:proofErr w:type="gramStart"/>
      <w:r>
        <w:t>Требованием к члену Союза,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proofErr w:type="gramEnd"/>
      <w:r>
        <w:t xml:space="preserve">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Союзом.</w:t>
      </w:r>
    </w:p>
    <w:p w:rsidR="006E66D1" w:rsidRDefault="006E66D1" w:rsidP="006E66D1">
      <w:pPr>
        <w:pStyle w:val="ConsPlusNormal"/>
        <w:ind w:firstLine="709"/>
        <w:jc w:val="both"/>
      </w:pPr>
    </w:p>
    <w:p w:rsidR="00F803CD" w:rsidRDefault="006E66D1" w:rsidP="006E66D1">
      <w:pPr>
        <w:pStyle w:val="ConsPlusNormal"/>
        <w:ind w:firstLine="709"/>
        <w:jc w:val="both"/>
      </w:pPr>
      <w:r w:rsidRPr="006E66D1">
        <w:rPr>
          <w:b/>
        </w:rPr>
        <w:t>2.3.</w:t>
      </w:r>
      <w:r>
        <w:t xml:space="preserve"> Требованием к члену Союза,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2559C" w:rsidRDefault="0072559C" w:rsidP="00C569D6">
      <w:pPr>
        <w:pStyle w:val="ConsPlusNormal"/>
        <w:jc w:val="both"/>
      </w:pPr>
    </w:p>
    <w:p w:rsidR="00D02CB6" w:rsidRPr="006E66D1" w:rsidRDefault="006E66D1" w:rsidP="006E66D1">
      <w:pPr>
        <w:pStyle w:val="ConsPlusNormal"/>
        <w:jc w:val="center"/>
        <w:rPr>
          <w:b/>
          <w:bCs/>
        </w:rPr>
      </w:pPr>
      <w:r w:rsidRPr="006E66D1">
        <w:rPr>
          <w:b/>
          <w:bCs/>
        </w:rPr>
        <w:t>3. Заключительные положения.</w:t>
      </w:r>
    </w:p>
    <w:p w:rsidR="006E66D1" w:rsidRPr="006E66D1" w:rsidRDefault="006E66D1" w:rsidP="006E66D1">
      <w:pPr>
        <w:pStyle w:val="ConsPlusNormal"/>
        <w:jc w:val="center"/>
        <w:rPr>
          <w:b/>
          <w:bCs/>
        </w:rPr>
      </w:pPr>
    </w:p>
    <w:p w:rsidR="006E66D1" w:rsidRPr="006E66D1" w:rsidRDefault="006E66D1" w:rsidP="006E66D1">
      <w:pPr>
        <w:shd w:val="clear" w:color="auto" w:fill="FFFFFF"/>
        <w:spacing w:line="240" w:lineRule="atLeast"/>
        <w:ind w:right="30" w:firstLine="709"/>
        <w:jc w:val="both"/>
        <w:rPr>
          <w:sz w:val="28"/>
          <w:szCs w:val="28"/>
        </w:rPr>
      </w:pPr>
      <w:r w:rsidRPr="006E66D1">
        <w:rPr>
          <w:b/>
          <w:bCs/>
          <w:sz w:val="28"/>
          <w:szCs w:val="28"/>
        </w:rPr>
        <w:t xml:space="preserve">3.1. </w:t>
      </w:r>
      <w:r w:rsidRPr="006E66D1">
        <w:rPr>
          <w:sz w:val="28"/>
          <w:szCs w:val="28"/>
        </w:rPr>
        <w:t>Настоящее Положение вступает в силу со дня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 июля 2017 года.</w:t>
      </w:r>
    </w:p>
    <w:p w:rsidR="006E66D1" w:rsidRPr="006E66D1" w:rsidRDefault="006E66D1" w:rsidP="006E66D1">
      <w:pPr>
        <w:shd w:val="clear" w:color="auto" w:fill="FFFFFF"/>
        <w:spacing w:line="240" w:lineRule="atLeast"/>
        <w:ind w:left="709" w:right="30"/>
        <w:jc w:val="both"/>
        <w:rPr>
          <w:sz w:val="28"/>
          <w:szCs w:val="28"/>
        </w:rPr>
      </w:pPr>
    </w:p>
    <w:p w:rsidR="006E66D1" w:rsidRPr="006E66D1" w:rsidRDefault="006E66D1" w:rsidP="006E66D1">
      <w:pPr>
        <w:shd w:val="clear" w:color="auto" w:fill="FFFFFF"/>
        <w:spacing w:line="240" w:lineRule="atLeast"/>
        <w:ind w:right="30" w:firstLine="709"/>
        <w:jc w:val="both"/>
        <w:rPr>
          <w:sz w:val="28"/>
          <w:szCs w:val="28"/>
        </w:rPr>
      </w:pPr>
      <w:r w:rsidRPr="006E66D1">
        <w:rPr>
          <w:b/>
          <w:sz w:val="28"/>
          <w:szCs w:val="28"/>
        </w:rPr>
        <w:t xml:space="preserve">3.2. </w:t>
      </w:r>
      <w:r w:rsidRPr="006E66D1">
        <w:rPr>
          <w:sz w:val="28"/>
          <w:szCs w:val="28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6E66D1" w:rsidRPr="006E66D1" w:rsidRDefault="006E66D1" w:rsidP="006E66D1">
      <w:pPr>
        <w:pStyle w:val="ConsPlusNormal"/>
        <w:ind w:firstLine="709"/>
        <w:rPr>
          <w:bCs/>
        </w:rPr>
      </w:pPr>
    </w:p>
    <w:sectPr w:rsidR="006E66D1" w:rsidRPr="006E66D1" w:rsidSect="001043FA">
      <w:pgSz w:w="11906" w:h="16838"/>
      <w:pgMar w:top="709" w:right="991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D1" w:rsidRDefault="006E66D1">
      <w:r>
        <w:separator/>
      </w:r>
    </w:p>
  </w:endnote>
  <w:endnote w:type="continuationSeparator" w:id="0">
    <w:p w:rsidR="006E66D1" w:rsidRDefault="006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D1" w:rsidRDefault="006E66D1">
      <w:r>
        <w:separator/>
      </w:r>
    </w:p>
  </w:footnote>
  <w:footnote w:type="continuationSeparator" w:id="0">
    <w:p w:rsidR="006E66D1" w:rsidRDefault="006E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CFC"/>
    <w:multiLevelType w:val="hybridMultilevel"/>
    <w:tmpl w:val="2EE2E93A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3A5C59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C01F7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4E440C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8B20A1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55D124D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532F18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0EA2C6D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1A5441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5665799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BAA371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D33A32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3170E6A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8E30212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9046B9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8F271C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25247CC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4CF5C85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93870A4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0DB6D96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E96504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9232529"/>
    <w:multiLevelType w:val="hybridMultilevel"/>
    <w:tmpl w:val="D6480AE6"/>
    <w:lvl w:ilvl="0" w:tplc="FAB4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419A0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E266F33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14656A0"/>
    <w:multiLevelType w:val="hybridMultilevel"/>
    <w:tmpl w:val="207C90FE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8617CA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0950F8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D0F78CA"/>
    <w:multiLevelType w:val="hybridMultilevel"/>
    <w:tmpl w:val="8160E38C"/>
    <w:lvl w:ilvl="0" w:tplc="6398306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0">
    <w:nsid w:val="7F064CC9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19"/>
  </w:num>
  <w:num w:numId="18">
    <w:abstractNumId w:val="26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D"/>
    <w:rsid w:val="000244E0"/>
    <w:rsid w:val="00027447"/>
    <w:rsid w:val="00036A23"/>
    <w:rsid w:val="00045917"/>
    <w:rsid w:val="000513A8"/>
    <w:rsid w:val="0006331D"/>
    <w:rsid w:val="000640C3"/>
    <w:rsid w:val="000671D5"/>
    <w:rsid w:val="00072B1C"/>
    <w:rsid w:val="000A17D1"/>
    <w:rsid w:val="000B5AD9"/>
    <w:rsid w:val="000C074B"/>
    <w:rsid w:val="000C124C"/>
    <w:rsid w:val="000D04B2"/>
    <w:rsid w:val="001043FA"/>
    <w:rsid w:val="00125062"/>
    <w:rsid w:val="00144F00"/>
    <w:rsid w:val="0015061C"/>
    <w:rsid w:val="001509D6"/>
    <w:rsid w:val="00162B32"/>
    <w:rsid w:val="00165911"/>
    <w:rsid w:val="00171C99"/>
    <w:rsid w:val="0018298E"/>
    <w:rsid w:val="0019296F"/>
    <w:rsid w:val="001E0421"/>
    <w:rsid w:val="001F06EC"/>
    <w:rsid w:val="00203F89"/>
    <w:rsid w:val="002162C3"/>
    <w:rsid w:val="00240152"/>
    <w:rsid w:val="00255CA7"/>
    <w:rsid w:val="00260235"/>
    <w:rsid w:val="00266E4E"/>
    <w:rsid w:val="00274DFE"/>
    <w:rsid w:val="002764A8"/>
    <w:rsid w:val="002948E0"/>
    <w:rsid w:val="002B26B5"/>
    <w:rsid w:val="002B6EB5"/>
    <w:rsid w:val="002E0318"/>
    <w:rsid w:val="002E49D8"/>
    <w:rsid w:val="002F217B"/>
    <w:rsid w:val="002F2D15"/>
    <w:rsid w:val="002F6BDC"/>
    <w:rsid w:val="003146DC"/>
    <w:rsid w:val="00325EA7"/>
    <w:rsid w:val="00336B9F"/>
    <w:rsid w:val="00340581"/>
    <w:rsid w:val="00353767"/>
    <w:rsid w:val="00367005"/>
    <w:rsid w:val="00371D1E"/>
    <w:rsid w:val="00374650"/>
    <w:rsid w:val="0037493C"/>
    <w:rsid w:val="00375FFB"/>
    <w:rsid w:val="0039204F"/>
    <w:rsid w:val="00393248"/>
    <w:rsid w:val="003B7496"/>
    <w:rsid w:val="003C64BF"/>
    <w:rsid w:val="003D46BE"/>
    <w:rsid w:val="003D7224"/>
    <w:rsid w:val="003E7426"/>
    <w:rsid w:val="003F11E1"/>
    <w:rsid w:val="003F6FAA"/>
    <w:rsid w:val="00421C1F"/>
    <w:rsid w:val="0043432C"/>
    <w:rsid w:val="0044786E"/>
    <w:rsid w:val="00493204"/>
    <w:rsid w:val="004D7C90"/>
    <w:rsid w:val="004E5619"/>
    <w:rsid w:val="004E6C7C"/>
    <w:rsid w:val="004F0307"/>
    <w:rsid w:val="004F57E1"/>
    <w:rsid w:val="00506A7D"/>
    <w:rsid w:val="00533B00"/>
    <w:rsid w:val="00534DE8"/>
    <w:rsid w:val="005357C5"/>
    <w:rsid w:val="00537E81"/>
    <w:rsid w:val="00543F34"/>
    <w:rsid w:val="00545AA9"/>
    <w:rsid w:val="00550F2A"/>
    <w:rsid w:val="005616DF"/>
    <w:rsid w:val="0058056E"/>
    <w:rsid w:val="005A018E"/>
    <w:rsid w:val="005A5D3D"/>
    <w:rsid w:val="005D1103"/>
    <w:rsid w:val="005E0DB1"/>
    <w:rsid w:val="005E3FF2"/>
    <w:rsid w:val="005E5208"/>
    <w:rsid w:val="006115D6"/>
    <w:rsid w:val="0062594D"/>
    <w:rsid w:val="00631929"/>
    <w:rsid w:val="0066708F"/>
    <w:rsid w:val="00680693"/>
    <w:rsid w:val="0069465D"/>
    <w:rsid w:val="006A143B"/>
    <w:rsid w:val="006D22CC"/>
    <w:rsid w:val="006D2913"/>
    <w:rsid w:val="006E350B"/>
    <w:rsid w:val="006E66D1"/>
    <w:rsid w:val="006F0489"/>
    <w:rsid w:val="006F3E47"/>
    <w:rsid w:val="007030EB"/>
    <w:rsid w:val="007052BD"/>
    <w:rsid w:val="007246A8"/>
    <w:rsid w:val="0072559C"/>
    <w:rsid w:val="00730DBC"/>
    <w:rsid w:val="0074380C"/>
    <w:rsid w:val="00753C8C"/>
    <w:rsid w:val="007543DE"/>
    <w:rsid w:val="007546E1"/>
    <w:rsid w:val="00762584"/>
    <w:rsid w:val="007661F6"/>
    <w:rsid w:val="0077043F"/>
    <w:rsid w:val="00772E89"/>
    <w:rsid w:val="00787821"/>
    <w:rsid w:val="007A0BDA"/>
    <w:rsid w:val="007B1F30"/>
    <w:rsid w:val="007C4E69"/>
    <w:rsid w:val="007D1D86"/>
    <w:rsid w:val="007D31E1"/>
    <w:rsid w:val="007E606E"/>
    <w:rsid w:val="007F6D4D"/>
    <w:rsid w:val="00802BB1"/>
    <w:rsid w:val="0081524F"/>
    <w:rsid w:val="00820D46"/>
    <w:rsid w:val="008568C3"/>
    <w:rsid w:val="008577E7"/>
    <w:rsid w:val="00862C5E"/>
    <w:rsid w:val="00871047"/>
    <w:rsid w:val="00880D28"/>
    <w:rsid w:val="00885224"/>
    <w:rsid w:val="008A7A03"/>
    <w:rsid w:val="008A7D1C"/>
    <w:rsid w:val="008B1EB7"/>
    <w:rsid w:val="008B5719"/>
    <w:rsid w:val="008F4ED9"/>
    <w:rsid w:val="009404B5"/>
    <w:rsid w:val="0095461E"/>
    <w:rsid w:val="00984FCF"/>
    <w:rsid w:val="009B4963"/>
    <w:rsid w:val="009F182F"/>
    <w:rsid w:val="009F60EA"/>
    <w:rsid w:val="00A107E7"/>
    <w:rsid w:val="00A111A6"/>
    <w:rsid w:val="00A33E2F"/>
    <w:rsid w:val="00A47F92"/>
    <w:rsid w:val="00A558C4"/>
    <w:rsid w:val="00A57F6C"/>
    <w:rsid w:val="00A74FA6"/>
    <w:rsid w:val="00A75835"/>
    <w:rsid w:val="00A7743C"/>
    <w:rsid w:val="00A8159E"/>
    <w:rsid w:val="00AB1E62"/>
    <w:rsid w:val="00AB5A6F"/>
    <w:rsid w:val="00AB66BE"/>
    <w:rsid w:val="00AC5EAC"/>
    <w:rsid w:val="00AE5A20"/>
    <w:rsid w:val="00B1030A"/>
    <w:rsid w:val="00B2695C"/>
    <w:rsid w:val="00B342EF"/>
    <w:rsid w:val="00B34C64"/>
    <w:rsid w:val="00B57EE1"/>
    <w:rsid w:val="00B81CEF"/>
    <w:rsid w:val="00BE3732"/>
    <w:rsid w:val="00BE55A1"/>
    <w:rsid w:val="00BE6C9D"/>
    <w:rsid w:val="00BF2779"/>
    <w:rsid w:val="00C03A94"/>
    <w:rsid w:val="00C2552A"/>
    <w:rsid w:val="00C34B7E"/>
    <w:rsid w:val="00C569D6"/>
    <w:rsid w:val="00C57F2D"/>
    <w:rsid w:val="00C61EB3"/>
    <w:rsid w:val="00C669F7"/>
    <w:rsid w:val="00C755D5"/>
    <w:rsid w:val="00C8681A"/>
    <w:rsid w:val="00C9317F"/>
    <w:rsid w:val="00CB678B"/>
    <w:rsid w:val="00CC0240"/>
    <w:rsid w:val="00CC403B"/>
    <w:rsid w:val="00CD27C3"/>
    <w:rsid w:val="00CD2B58"/>
    <w:rsid w:val="00CE0B56"/>
    <w:rsid w:val="00D02CB6"/>
    <w:rsid w:val="00D10D81"/>
    <w:rsid w:val="00D12532"/>
    <w:rsid w:val="00D27773"/>
    <w:rsid w:val="00D3296E"/>
    <w:rsid w:val="00D348A2"/>
    <w:rsid w:val="00D47EED"/>
    <w:rsid w:val="00DD6690"/>
    <w:rsid w:val="00DE657A"/>
    <w:rsid w:val="00E03E7B"/>
    <w:rsid w:val="00E14B01"/>
    <w:rsid w:val="00E331F0"/>
    <w:rsid w:val="00E44E1F"/>
    <w:rsid w:val="00E4648F"/>
    <w:rsid w:val="00E57845"/>
    <w:rsid w:val="00E6519A"/>
    <w:rsid w:val="00E738B3"/>
    <w:rsid w:val="00E82AD1"/>
    <w:rsid w:val="00E94BDA"/>
    <w:rsid w:val="00EB756C"/>
    <w:rsid w:val="00EE064D"/>
    <w:rsid w:val="00F1540D"/>
    <w:rsid w:val="00F1578E"/>
    <w:rsid w:val="00F164F5"/>
    <w:rsid w:val="00F220DE"/>
    <w:rsid w:val="00F239A5"/>
    <w:rsid w:val="00F3564A"/>
    <w:rsid w:val="00F505C0"/>
    <w:rsid w:val="00F5283F"/>
    <w:rsid w:val="00F52E03"/>
    <w:rsid w:val="00F64EB4"/>
    <w:rsid w:val="00F77621"/>
    <w:rsid w:val="00F803CD"/>
    <w:rsid w:val="00F85929"/>
    <w:rsid w:val="00FA1C0C"/>
    <w:rsid w:val="00FB1DF3"/>
    <w:rsid w:val="00FB4F5B"/>
    <w:rsid w:val="00FC2AEF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qFormat/>
    <w:rsid w:val="00F803C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qFormat/>
    <w:rsid w:val="00F803C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4860-BC73-4D4A-95BB-276F125F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Максим Сергеевич</dc:creator>
  <cp:lastModifiedBy>admin</cp:lastModifiedBy>
  <cp:revision>14</cp:revision>
  <cp:lastPrinted>2017-01-24T21:24:00Z</cp:lastPrinted>
  <dcterms:created xsi:type="dcterms:W3CDTF">2016-11-22T09:45:00Z</dcterms:created>
  <dcterms:modified xsi:type="dcterms:W3CDTF">2017-06-13T00:45:00Z</dcterms:modified>
</cp:coreProperties>
</file>