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B5E" w:rsidRPr="002B5FA9" w:rsidRDefault="000B3B5E" w:rsidP="002B5FA9">
      <w:pPr>
        <w:widowControl w:val="0"/>
        <w:autoSpaceDE w:val="0"/>
        <w:autoSpaceDN w:val="0"/>
        <w:adjustRightInd w:val="0"/>
        <w:spacing w:after="0" w:line="240" w:lineRule="auto"/>
        <w:jc w:val="center"/>
        <w:rPr>
          <w:rFonts w:ascii="Times New Roman" w:hAnsi="Times New Roman" w:cs="Times New Roman"/>
          <w:b/>
          <w:bCs/>
          <w:sz w:val="24"/>
          <w:szCs w:val="24"/>
        </w:rPr>
      </w:pPr>
      <w:r w:rsidRPr="002B5FA9">
        <w:rPr>
          <w:rFonts w:ascii="Times New Roman" w:hAnsi="Times New Roman" w:cs="Times New Roman"/>
          <w:b/>
          <w:bCs/>
          <w:sz w:val="24"/>
          <w:szCs w:val="24"/>
        </w:rPr>
        <w:t>МИНИСТЕРСТВО ФИНАНСОВ РОССИЙСКОЙ ФЕДЕРАЦИИ</w:t>
      </w:r>
    </w:p>
    <w:p w:rsidR="000B3B5E" w:rsidRPr="002B5FA9" w:rsidRDefault="000B3B5E">
      <w:pPr>
        <w:widowControl w:val="0"/>
        <w:autoSpaceDE w:val="0"/>
        <w:autoSpaceDN w:val="0"/>
        <w:adjustRightInd w:val="0"/>
        <w:spacing w:after="0" w:line="240" w:lineRule="auto"/>
        <w:jc w:val="center"/>
        <w:rPr>
          <w:rFonts w:ascii="Times New Roman" w:hAnsi="Times New Roman" w:cs="Times New Roman"/>
          <w:b/>
          <w:bCs/>
          <w:sz w:val="24"/>
          <w:szCs w:val="24"/>
        </w:rPr>
      </w:pPr>
    </w:p>
    <w:p w:rsidR="000B3B5E" w:rsidRPr="002B5FA9" w:rsidRDefault="000B3B5E">
      <w:pPr>
        <w:widowControl w:val="0"/>
        <w:autoSpaceDE w:val="0"/>
        <w:autoSpaceDN w:val="0"/>
        <w:adjustRightInd w:val="0"/>
        <w:spacing w:after="0" w:line="240" w:lineRule="auto"/>
        <w:jc w:val="center"/>
        <w:rPr>
          <w:rFonts w:ascii="Times New Roman" w:hAnsi="Times New Roman" w:cs="Times New Roman"/>
          <w:b/>
          <w:bCs/>
          <w:sz w:val="24"/>
          <w:szCs w:val="24"/>
        </w:rPr>
      </w:pPr>
      <w:r w:rsidRPr="002B5FA9">
        <w:rPr>
          <w:rFonts w:ascii="Times New Roman" w:hAnsi="Times New Roman" w:cs="Times New Roman"/>
          <w:b/>
          <w:bCs/>
          <w:sz w:val="24"/>
          <w:szCs w:val="24"/>
        </w:rPr>
        <w:t>ПИСЬМО</w:t>
      </w:r>
    </w:p>
    <w:p w:rsidR="000B3B5E" w:rsidRPr="002B5FA9" w:rsidRDefault="000B3B5E">
      <w:pPr>
        <w:widowControl w:val="0"/>
        <w:autoSpaceDE w:val="0"/>
        <w:autoSpaceDN w:val="0"/>
        <w:adjustRightInd w:val="0"/>
        <w:spacing w:after="0" w:line="240" w:lineRule="auto"/>
        <w:jc w:val="center"/>
        <w:rPr>
          <w:rFonts w:ascii="Times New Roman" w:hAnsi="Times New Roman" w:cs="Times New Roman"/>
          <w:b/>
          <w:bCs/>
          <w:sz w:val="24"/>
          <w:szCs w:val="24"/>
        </w:rPr>
      </w:pPr>
      <w:r w:rsidRPr="002B5FA9">
        <w:rPr>
          <w:rFonts w:ascii="Times New Roman" w:hAnsi="Times New Roman" w:cs="Times New Roman"/>
          <w:b/>
          <w:bCs/>
          <w:sz w:val="24"/>
          <w:szCs w:val="24"/>
        </w:rPr>
        <w:t>от 10 августа 2010 г. N 03-03-06/4/75</w:t>
      </w:r>
    </w:p>
    <w:p w:rsidR="000B3B5E" w:rsidRPr="002B5FA9" w:rsidRDefault="000B3B5E">
      <w:pPr>
        <w:widowControl w:val="0"/>
        <w:autoSpaceDE w:val="0"/>
        <w:autoSpaceDN w:val="0"/>
        <w:adjustRightInd w:val="0"/>
        <w:spacing w:after="0" w:line="240" w:lineRule="auto"/>
        <w:jc w:val="both"/>
        <w:rPr>
          <w:rFonts w:ascii="Times New Roman" w:hAnsi="Times New Roman" w:cs="Times New Roman"/>
          <w:sz w:val="24"/>
          <w:szCs w:val="24"/>
        </w:rPr>
      </w:pP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Департамент налоговой и таможенно-тарифной политики рассмотрел письмо по отдельным вопросам применения налогового законодательства саморегулируемой организацией и ее членами, осуществляющими строительство, и сообщает следующее.</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1. </w:t>
      </w:r>
      <w:proofErr w:type="gramStart"/>
      <w:r w:rsidRPr="002B5FA9">
        <w:rPr>
          <w:rFonts w:ascii="Times New Roman" w:hAnsi="Times New Roman" w:cs="Times New Roman"/>
          <w:sz w:val="24"/>
          <w:szCs w:val="24"/>
        </w:rPr>
        <w:t xml:space="preserve">В соответствии со </w:t>
      </w:r>
      <w:hyperlink r:id="rId5" w:history="1">
        <w:r w:rsidRPr="002B5FA9">
          <w:rPr>
            <w:rFonts w:ascii="Times New Roman" w:hAnsi="Times New Roman" w:cs="Times New Roman"/>
            <w:sz w:val="24"/>
            <w:szCs w:val="24"/>
          </w:rPr>
          <w:t>ст. 3</w:t>
        </w:r>
      </w:hyperlink>
      <w:r w:rsidRPr="002B5FA9">
        <w:rPr>
          <w:rFonts w:ascii="Times New Roman" w:hAnsi="Times New Roman" w:cs="Times New Roman"/>
          <w:sz w:val="24"/>
          <w:szCs w:val="24"/>
        </w:rPr>
        <w:t xml:space="preserve"> Федерального закона от 01.12.2007 N 315-ФЗ "О саморегулируемых организациях" (далее - Закон N 315-ФЗ) саморегулируемыми организациями признаются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r w:rsidRPr="002B5FA9">
        <w:rPr>
          <w:rFonts w:ascii="Times New Roman" w:hAnsi="Times New Roman" w:cs="Times New Roman"/>
          <w:sz w:val="24"/>
          <w:szCs w:val="24"/>
        </w:rPr>
        <w:t xml:space="preserve"> Саморегулируемой организацией признается некоммерческая организация, созданная в соответствии с Гражданским </w:t>
      </w:r>
      <w:hyperlink r:id="rId6" w:history="1">
        <w:r w:rsidRPr="002B5FA9">
          <w:rPr>
            <w:rFonts w:ascii="Times New Roman" w:hAnsi="Times New Roman" w:cs="Times New Roman"/>
            <w:sz w:val="24"/>
            <w:szCs w:val="24"/>
          </w:rPr>
          <w:t>кодексом</w:t>
        </w:r>
      </w:hyperlink>
      <w:r w:rsidRPr="002B5FA9">
        <w:rPr>
          <w:rFonts w:ascii="Times New Roman" w:hAnsi="Times New Roman" w:cs="Times New Roman"/>
          <w:sz w:val="24"/>
          <w:szCs w:val="24"/>
        </w:rPr>
        <w:t xml:space="preserve"> Российской Федерации и Федеральным </w:t>
      </w:r>
      <w:hyperlink r:id="rId7" w:history="1">
        <w:r w:rsidRPr="002B5FA9">
          <w:rPr>
            <w:rFonts w:ascii="Times New Roman" w:hAnsi="Times New Roman" w:cs="Times New Roman"/>
            <w:sz w:val="24"/>
            <w:szCs w:val="24"/>
          </w:rPr>
          <w:t>законом</w:t>
        </w:r>
      </w:hyperlink>
      <w:r w:rsidRPr="002B5FA9">
        <w:rPr>
          <w:rFonts w:ascii="Times New Roman" w:hAnsi="Times New Roman" w:cs="Times New Roman"/>
          <w:sz w:val="24"/>
          <w:szCs w:val="24"/>
        </w:rPr>
        <w:t xml:space="preserve"> от 12.01.1996 N 7-ФЗ "О некоммерческих организациях", только при условии ее соответствия всем установленным Законом N 315-ФЗ требованиям.</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Федеральным </w:t>
      </w:r>
      <w:hyperlink r:id="rId8" w:history="1">
        <w:r w:rsidRPr="002B5FA9">
          <w:rPr>
            <w:rFonts w:ascii="Times New Roman" w:hAnsi="Times New Roman" w:cs="Times New Roman"/>
            <w:sz w:val="24"/>
            <w:szCs w:val="24"/>
          </w:rPr>
          <w:t>законом</w:t>
        </w:r>
      </w:hyperlink>
      <w:r w:rsidRPr="002B5FA9">
        <w:rPr>
          <w:rFonts w:ascii="Times New Roman" w:hAnsi="Times New Roman" w:cs="Times New Roman"/>
          <w:sz w:val="24"/>
          <w:szCs w:val="24"/>
        </w:rPr>
        <w:t xml:space="preserve"> от 22.07.2008 N 148-ФЗ "О внесении изменений в Градостроительный кодекс Российской Федерации и отдельные законодательные акты Российской Федерации" предусмотрено, что с 1 января 2009 г. в строительстве вводится система саморегулирования, с 1 января 2010 г. отменяющая систему лицензирования работ в строительной деятельности.</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При этом саморегулируемые организации законодательно наделены правом на выдачу свидетельств о допусках для осуществления определенных видов работ, проведение которых влияет на безопасность объектов капитального строительства.</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Требования к саморегулируемым организациям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установлены </w:t>
      </w:r>
      <w:hyperlink r:id="rId9" w:history="1">
        <w:r w:rsidRPr="002B5FA9">
          <w:rPr>
            <w:rFonts w:ascii="Times New Roman" w:hAnsi="Times New Roman" w:cs="Times New Roman"/>
            <w:sz w:val="24"/>
            <w:szCs w:val="24"/>
          </w:rPr>
          <w:t>гл. 6.1</w:t>
        </w:r>
      </w:hyperlink>
      <w:r w:rsidRPr="002B5FA9">
        <w:rPr>
          <w:rFonts w:ascii="Times New Roman" w:hAnsi="Times New Roman" w:cs="Times New Roman"/>
          <w:sz w:val="24"/>
          <w:szCs w:val="24"/>
        </w:rPr>
        <w:t xml:space="preserve"> Градостроительного кодекса Российской Федерации (далее - Градостроительный кодекс).</w:t>
      </w:r>
    </w:p>
    <w:p w:rsidR="000B3B5E" w:rsidRPr="002B5FA9" w:rsidRDefault="002B5F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0B3B5E" w:rsidRPr="002B5FA9">
          <w:rPr>
            <w:rFonts w:ascii="Times New Roman" w:hAnsi="Times New Roman" w:cs="Times New Roman"/>
            <w:sz w:val="24"/>
            <w:szCs w:val="24"/>
          </w:rPr>
          <w:t>Статьями 55.2</w:t>
        </w:r>
      </w:hyperlink>
      <w:r w:rsidR="000B3B5E" w:rsidRPr="002B5FA9">
        <w:rPr>
          <w:rFonts w:ascii="Times New Roman" w:hAnsi="Times New Roman" w:cs="Times New Roman"/>
          <w:sz w:val="24"/>
          <w:szCs w:val="24"/>
        </w:rPr>
        <w:t xml:space="preserve"> и </w:t>
      </w:r>
      <w:hyperlink r:id="rId11" w:history="1">
        <w:r w:rsidR="000B3B5E" w:rsidRPr="002B5FA9">
          <w:rPr>
            <w:rFonts w:ascii="Times New Roman" w:hAnsi="Times New Roman" w:cs="Times New Roman"/>
            <w:sz w:val="24"/>
            <w:szCs w:val="24"/>
          </w:rPr>
          <w:t>55.3</w:t>
        </w:r>
      </w:hyperlink>
      <w:r w:rsidR="000B3B5E" w:rsidRPr="002B5FA9">
        <w:rPr>
          <w:rFonts w:ascii="Times New Roman" w:hAnsi="Times New Roman" w:cs="Times New Roman"/>
          <w:sz w:val="24"/>
          <w:szCs w:val="24"/>
        </w:rPr>
        <w:t xml:space="preserve"> Градостроительного кодекса установлено, что саморегулируемые организации - это организации, созданные в форме некоммерческого партнерства, основанные на членстве лиц, выполняющих инженерные изыскания, подготовку проектной документации, осуществляющих строительство.</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Положениями </w:t>
      </w:r>
      <w:hyperlink r:id="rId12" w:history="1">
        <w:r w:rsidRPr="002B5FA9">
          <w:rPr>
            <w:rFonts w:ascii="Times New Roman" w:hAnsi="Times New Roman" w:cs="Times New Roman"/>
            <w:sz w:val="24"/>
            <w:szCs w:val="24"/>
          </w:rPr>
          <w:t>ст. ст. 55.6</w:t>
        </w:r>
      </w:hyperlink>
      <w:r w:rsidRPr="002B5FA9">
        <w:rPr>
          <w:rFonts w:ascii="Times New Roman" w:hAnsi="Times New Roman" w:cs="Times New Roman"/>
          <w:sz w:val="24"/>
          <w:szCs w:val="24"/>
        </w:rPr>
        <w:t xml:space="preserve"> и </w:t>
      </w:r>
      <w:hyperlink r:id="rId13" w:history="1">
        <w:r w:rsidRPr="002B5FA9">
          <w:rPr>
            <w:rFonts w:ascii="Times New Roman" w:hAnsi="Times New Roman" w:cs="Times New Roman"/>
            <w:sz w:val="24"/>
            <w:szCs w:val="24"/>
          </w:rPr>
          <w:t>55.7</w:t>
        </w:r>
      </w:hyperlink>
      <w:r w:rsidRPr="002B5FA9">
        <w:rPr>
          <w:rFonts w:ascii="Times New Roman" w:hAnsi="Times New Roman" w:cs="Times New Roman"/>
          <w:sz w:val="24"/>
          <w:szCs w:val="24"/>
        </w:rPr>
        <w:t xml:space="preserve"> Градостроительного кодекса установлено требование об уплате вступительного взноса и взноса в компенсационный фонд, а также регулярных членских взносов для лиц, принятых в члены саморегулируемой организации.</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Исходя из положений </w:t>
      </w:r>
      <w:hyperlink r:id="rId14" w:history="1">
        <w:r w:rsidRPr="002B5FA9">
          <w:rPr>
            <w:rFonts w:ascii="Times New Roman" w:hAnsi="Times New Roman" w:cs="Times New Roman"/>
            <w:sz w:val="24"/>
            <w:szCs w:val="24"/>
          </w:rPr>
          <w:t>ст. 55.8</w:t>
        </w:r>
      </w:hyperlink>
      <w:r w:rsidRPr="002B5FA9">
        <w:rPr>
          <w:rFonts w:ascii="Times New Roman" w:hAnsi="Times New Roman" w:cs="Times New Roman"/>
          <w:sz w:val="24"/>
          <w:szCs w:val="24"/>
        </w:rPr>
        <w:t xml:space="preserve"> Градостроительного кодекса к осуществлению работ по инженерным изысканиям, архитектурно-строительному проектированию, строительству, реконструкции, капитальному ремонту основных средств, оказывающих влияние на безопасность объектов капитального строительства, допускаются организации, являющиеся членами саморегулируемой организации, уплатившие вступительный взнос, взнос в компенсационный фонд, а также уплачивающие регулярные членские взносы.</w:t>
      </w:r>
    </w:p>
    <w:p w:rsidR="000B3B5E" w:rsidRPr="002B5FA9" w:rsidRDefault="002B5F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proofErr w:type="gramStart"/>
        <w:r w:rsidR="000B3B5E" w:rsidRPr="002B5FA9">
          <w:rPr>
            <w:rFonts w:ascii="Times New Roman" w:hAnsi="Times New Roman" w:cs="Times New Roman"/>
            <w:sz w:val="24"/>
            <w:szCs w:val="24"/>
          </w:rPr>
          <w:t>Подпунктом 29 п. 1 ст. 264</w:t>
        </w:r>
      </w:hyperlink>
      <w:r w:rsidR="000B3B5E" w:rsidRPr="002B5FA9">
        <w:rPr>
          <w:rFonts w:ascii="Times New Roman" w:hAnsi="Times New Roman" w:cs="Times New Roman"/>
          <w:sz w:val="24"/>
          <w:szCs w:val="24"/>
        </w:rPr>
        <w:t xml:space="preserve"> Налогового кодекса Российской Федерации (далее - Кодекс) установлено, что к прочим расходам, связанным с производством и реализацией, относятся расходы налогоплательщика в виде взносов, вкладов и иных обязательных платежей, уплачиваемых некоммерческими организациями,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roofErr w:type="gramEnd"/>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Расходы в виде уплаты вступительных, членских взносов, а также взносов в компенсационный фонд саморегулируемой организации для целей налогообложения </w:t>
      </w:r>
      <w:r w:rsidRPr="002B5FA9">
        <w:rPr>
          <w:rFonts w:ascii="Times New Roman" w:hAnsi="Times New Roman" w:cs="Times New Roman"/>
          <w:sz w:val="24"/>
          <w:szCs w:val="24"/>
        </w:rPr>
        <w:lastRenderedPageBreak/>
        <w:t xml:space="preserve">прибыли признаются в налоговом учете при применении метода начисления единовременно в соответствии с </w:t>
      </w:r>
      <w:hyperlink r:id="rId16" w:history="1">
        <w:proofErr w:type="spellStart"/>
        <w:r w:rsidRPr="002B5FA9">
          <w:rPr>
            <w:rFonts w:ascii="Times New Roman" w:hAnsi="Times New Roman" w:cs="Times New Roman"/>
            <w:sz w:val="24"/>
            <w:szCs w:val="24"/>
          </w:rPr>
          <w:t>пп</w:t>
        </w:r>
        <w:proofErr w:type="spellEnd"/>
        <w:r w:rsidRPr="002B5FA9">
          <w:rPr>
            <w:rFonts w:ascii="Times New Roman" w:hAnsi="Times New Roman" w:cs="Times New Roman"/>
            <w:sz w:val="24"/>
            <w:szCs w:val="24"/>
          </w:rPr>
          <w:t>. 3 п. 7 ст. 272</w:t>
        </w:r>
      </w:hyperlink>
      <w:r w:rsidRPr="002B5FA9">
        <w:rPr>
          <w:rFonts w:ascii="Times New Roman" w:hAnsi="Times New Roman" w:cs="Times New Roman"/>
          <w:sz w:val="24"/>
          <w:szCs w:val="24"/>
        </w:rPr>
        <w:t xml:space="preserve"> Кодекса.</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2. В соответствии с </w:t>
      </w:r>
      <w:hyperlink r:id="rId17" w:history="1">
        <w:r w:rsidRPr="002B5FA9">
          <w:rPr>
            <w:rFonts w:ascii="Times New Roman" w:hAnsi="Times New Roman" w:cs="Times New Roman"/>
            <w:sz w:val="24"/>
            <w:szCs w:val="24"/>
          </w:rPr>
          <w:t>п. 1 ст. 252</w:t>
        </w:r>
      </w:hyperlink>
      <w:r w:rsidRPr="002B5FA9">
        <w:rPr>
          <w:rFonts w:ascii="Times New Roman" w:hAnsi="Times New Roman" w:cs="Times New Roman"/>
          <w:sz w:val="24"/>
          <w:szCs w:val="24"/>
        </w:rPr>
        <w:t xml:space="preserve"> Кодекса в целях налогообложения прибыли расходами признаются обоснованные и документально подтвержденные затраты (а в случаях, предусмотренных </w:t>
      </w:r>
      <w:hyperlink r:id="rId18" w:history="1">
        <w:r w:rsidRPr="002B5FA9">
          <w:rPr>
            <w:rFonts w:ascii="Times New Roman" w:hAnsi="Times New Roman" w:cs="Times New Roman"/>
            <w:sz w:val="24"/>
            <w:szCs w:val="24"/>
          </w:rPr>
          <w:t>ст. 265</w:t>
        </w:r>
      </w:hyperlink>
      <w:r w:rsidRPr="002B5FA9">
        <w:rPr>
          <w:rFonts w:ascii="Times New Roman" w:hAnsi="Times New Roman" w:cs="Times New Roman"/>
          <w:sz w:val="24"/>
          <w:szCs w:val="24"/>
        </w:rPr>
        <w:t xml:space="preserve"> Кодекса, - убытки), осуществленные (понесенные) налогоплательщиком.</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Под обоснованными расходами понимаются экономически оправданные затраты, оценка которых выражена в денежной форме.</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Под документально подтвержденными расходами подразумеваются затраты, подтвержденные в том числе документами, оформленными в соответствии с законодательством Российской Федерации.</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Подтвердить осуществленные расходы на уплату взносов в компенсационный фонд саморегулируемой организации налогоплательщик - член данной саморегулируемой организации может следующими документами:</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копиями свидетельств о членстве в саморегулируемой организации;</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платежными поручениями на перечисление взносов;</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счетами и другими документами, выданными саморегулируемой организацией.</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39"/>
      <w:bookmarkEnd w:id="0"/>
      <w:r w:rsidRPr="002B5FA9">
        <w:rPr>
          <w:rFonts w:ascii="Times New Roman" w:hAnsi="Times New Roman" w:cs="Times New Roman"/>
          <w:sz w:val="24"/>
          <w:szCs w:val="24"/>
        </w:rPr>
        <w:t xml:space="preserve">3. В соответствии с </w:t>
      </w:r>
      <w:hyperlink r:id="rId19" w:history="1">
        <w:r w:rsidRPr="002B5FA9">
          <w:rPr>
            <w:rFonts w:ascii="Times New Roman" w:hAnsi="Times New Roman" w:cs="Times New Roman"/>
            <w:sz w:val="24"/>
            <w:szCs w:val="24"/>
          </w:rPr>
          <w:t>п. 2 ст. 251</w:t>
        </w:r>
      </w:hyperlink>
      <w:r w:rsidRPr="002B5FA9">
        <w:rPr>
          <w:rFonts w:ascii="Times New Roman" w:hAnsi="Times New Roman" w:cs="Times New Roman"/>
          <w:sz w:val="24"/>
          <w:szCs w:val="24"/>
        </w:rPr>
        <w:t xml:space="preserve"> Кодекса при определении налоговой базы не учитываются целевые поступления (за исключением целевых поступлений в виде подакцизных товаров). К таким целевым поступлениям относятся, в частности, целевые поступления на содержание некоммерческих организаций и ведение ими уставной деятельности в виде вступительных взносов, осуществленных в соответствии с законодательством Российской Федерации о некоммерческих организациях.</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B5FA9">
        <w:rPr>
          <w:rFonts w:ascii="Times New Roman" w:hAnsi="Times New Roman" w:cs="Times New Roman"/>
          <w:sz w:val="24"/>
          <w:szCs w:val="24"/>
        </w:rPr>
        <w:t xml:space="preserve">Учитывая, что гражданское законодательство Российской Федерации не содержит определения понятия "вступительный взнос в саморегулируемую организацию", по нашему мнению, взнос в компенсационный фонд саморегулируемой организации, являющийся неотъемлемым условием принятия в члены саморегулируемой организации и направляемый на формирование имущества саморегулируемой организации, используемого целевым образом для ведения уставной деятельности в порядке, установленном </w:t>
      </w:r>
      <w:hyperlink r:id="rId20" w:history="1">
        <w:r w:rsidRPr="002B5FA9">
          <w:rPr>
            <w:rFonts w:ascii="Times New Roman" w:hAnsi="Times New Roman" w:cs="Times New Roman"/>
            <w:sz w:val="24"/>
            <w:szCs w:val="24"/>
          </w:rPr>
          <w:t>Законом</w:t>
        </w:r>
      </w:hyperlink>
      <w:r w:rsidRPr="002B5FA9">
        <w:rPr>
          <w:rFonts w:ascii="Times New Roman" w:hAnsi="Times New Roman" w:cs="Times New Roman"/>
          <w:sz w:val="24"/>
          <w:szCs w:val="24"/>
        </w:rPr>
        <w:t xml:space="preserve"> N 315-ФЗ, может рассматриваться для целей налогообложения прибыли как часть</w:t>
      </w:r>
      <w:proofErr w:type="gramEnd"/>
      <w:r w:rsidRPr="002B5FA9">
        <w:rPr>
          <w:rFonts w:ascii="Times New Roman" w:hAnsi="Times New Roman" w:cs="Times New Roman"/>
          <w:sz w:val="24"/>
          <w:szCs w:val="24"/>
        </w:rPr>
        <w:t xml:space="preserve"> вступительного взноса в саморегулируемую организацию.</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Исходя из изложенного, доходы в виде взносов в компенсационный фонд, уплачиваемые членами саморегулируемой организации, по нашему мнению, для целей налогообложения прибыли в составе доходов данной саморегулируемой организации не учитываются, если указанные взносы удовлетворяют указанным выше требованиям.</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При этом налогоплательщики - получатели целевых поступлений обязаны вести раздельный учет доходов (расходов), полученных (произведенных) в рамках целевых поступлений.</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4. </w:t>
      </w:r>
      <w:hyperlink r:id="rId21" w:history="1">
        <w:r w:rsidRPr="002B5FA9">
          <w:rPr>
            <w:rFonts w:ascii="Times New Roman" w:hAnsi="Times New Roman" w:cs="Times New Roman"/>
            <w:sz w:val="24"/>
            <w:szCs w:val="24"/>
          </w:rPr>
          <w:t>Пунктом 1 ст. 346.16</w:t>
        </w:r>
      </w:hyperlink>
      <w:r w:rsidRPr="002B5FA9">
        <w:rPr>
          <w:rFonts w:ascii="Times New Roman" w:hAnsi="Times New Roman" w:cs="Times New Roman"/>
          <w:sz w:val="24"/>
          <w:szCs w:val="24"/>
        </w:rPr>
        <w:t xml:space="preserve"> Кодекса определен перечень расходов, учитываемых при определении объекта налогообложения у налогоплательщиков, применяющих упрощенную систему налогообложения (далее - УСНО). Данный перечень расходов является закрытым.</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Поскольку вступительные и членские взносы, уплачиваемые саморегулируемой организации с целью получения допуска к проведению строительных работ, отсутствуют в данном перечне, налогоплательщик не вправе включать их в расходы, учитываемые при исчислении налога, уплачиваемого в связи с применением УСНО.</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5. В соответствии с </w:t>
      </w:r>
      <w:hyperlink r:id="rId22" w:history="1">
        <w:r w:rsidRPr="002B5FA9">
          <w:rPr>
            <w:rFonts w:ascii="Times New Roman" w:hAnsi="Times New Roman" w:cs="Times New Roman"/>
            <w:sz w:val="24"/>
            <w:szCs w:val="24"/>
          </w:rPr>
          <w:t>п. 1.1 ст. 346.15</w:t>
        </w:r>
      </w:hyperlink>
      <w:r w:rsidRPr="002B5FA9">
        <w:rPr>
          <w:rFonts w:ascii="Times New Roman" w:hAnsi="Times New Roman" w:cs="Times New Roman"/>
          <w:sz w:val="24"/>
          <w:szCs w:val="24"/>
        </w:rPr>
        <w:t xml:space="preserve"> Кодекса при определении объекта налогообложения организациями, применяющими УСНО, не учитываются доходы, предусмотренные </w:t>
      </w:r>
      <w:hyperlink r:id="rId23" w:history="1">
        <w:r w:rsidRPr="002B5FA9">
          <w:rPr>
            <w:rFonts w:ascii="Times New Roman" w:hAnsi="Times New Roman" w:cs="Times New Roman"/>
            <w:sz w:val="24"/>
            <w:szCs w:val="24"/>
          </w:rPr>
          <w:t>ст. 251</w:t>
        </w:r>
      </w:hyperlink>
      <w:r w:rsidRPr="002B5FA9">
        <w:rPr>
          <w:rFonts w:ascii="Times New Roman" w:hAnsi="Times New Roman" w:cs="Times New Roman"/>
          <w:sz w:val="24"/>
          <w:szCs w:val="24"/>
        </w:rPr>
        <w:t xml:space="preserve"> Кодекса. Таким образом, с учетом вышеприведенных положений </w:t>
      </w:r>
      <w:hyperlink r:id="rId24" w:history="1">
        <w:r w:rsidRPr="002B5FA9">
          <w:rPr>
            <w:rFonts w:ascii="Times New Roman" w:hAnsi="Times New Roman" w:cs="Times New Roman"/>
            <w:sz w:val="24"/>
            <w:szCs w:val="24"/>
          </w:rPr>
          <w:t>ст. 251</w:t>
        </w:r>
      </w:hyperlink>
      <w:r w:rsidRPr="002B5FA9">
        <w:rPr>
          <w:rFonts w:ascii="Times New Roman" w:hAnsi="Times New Roman" w:cs="Times New Roman"/>
          <w:sz w:val="24"/>
          <w:szCs w:val="24"/>
        </w:rPr>
        <w:t xml:space="preserve"> Кодекса доходы в виде взносов в компенсационный фонд, уплачиваемые членами саморегулируемой организации, для целей налогообложения налогом, уплачиваемым в связи с применением упрощенной системы налогообложения, в составе доходов данной </w:t>
      </w:r>
      <w:r w:rsidRPr="002B5FA9">
        <w:rPr>
          <w:rFonts w:ascii="Times New Roman" w:hAnsi="Times New Roman" w:cs="Times New Roman"/>
          <w:sz w:val="24"/>
          <w:szCs w:val="24"/>
        </w:rPr>
        <w:lastRenderedPageBreak/>
        <w:t>саморегулируемой организации не учитываются, если данные взносы удовлетворяют указанным выше требованиям.</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6. Исчерпывающий перечень доходов, не учитываемых при определении налоговой базы по налогу на прибыль организаций, приведен в </w:t>
      </w:r>
      <w:hyperlink r:id="rId25" w:history="1">
        <w:r w:rsidRPr="002B5FA9">
          <w:rPr>
            <w:rFonts w:ascii="Times New Roman" w:hAnsi="Times New Roman" w:cs="Times New Roman"/>
            <w:sz w:val="24"/>
            <w:szCs w:val="24"/>
          </w:rPr>
          <w:t>ст. 251</w:t>
        </w:r>
      </w:hyperlink>
      <w:r w:rsidRPr="002B5FA9">
        <w:rPr>
          <w:rFonts w:ascii="Times New Roman" w:hAnsi="Times New Roman" w:cs="Times New Roman"/>
          <w:sz w:val="24"/>
          <w:szCs w:val="24"/>
        </w:rPr>
        <w:t xml:space="preserve"> Кодекса.</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Целевые поступления на содержание и ведение уставной деятельности некоммерческих организаций, поступившие безвозмездно от других организаций и (или) физических лиц и использованные указанными получателями по назначению, не учитываемые при определении налоговой базы по налогу на прибыль некоммерческих организаций, определены в </w:t>
      </w:r>
      <w:hyperlink r:id="rId26" w:history="1">
        <w:r w:rsidRPr="002B5FA9">
          <w:rPr>
            <w:rFonts w:ascii="Times New Roman" w:hAnsi="Times New Roman" w:cs="Times New Roman"/>
            <w:sz w:val="24"/>
            <w:szCs w:val="24"/>
          </w:rPr>
          <w:t>п. 2 ст. 251</w:t>
        </w:r>
      </w:hyperlink>
      <w:r w:rsidRPr="002B5FA9">
        <w:rPr>
          <w:rFonts w:ascii="Times New Roman" w:hAnsi="Times New Roman" w:cs="Times New Roman"/>
          <w:sz w:val="24"/>
          <w:szCs w:val="24"/>
        </w:rPr>
        <w:t xml:space="preserve"> Кодекса.</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Доходы некоммерческой организации, которые не поименованы в </w:t>
      </w:r>
      <w:hyperlink r:id="rId27" w:history="1">
        <w:r w:rsidRPr="002B5FA9">
          <w:rPr>
            <w:rFonts w:ascii="Times New Roman" w:hAnsi="Times New Roman" w:cs="Times New Roman"/>
            <w:sz w:val="24"/>
            <w:szCs w:val="24"/>
          </w:rPr>
          <w:t>ст. 251</w:t>
        </w:r>
      </w:hyperlink>
      <w:r w:rsidRPr="002B5FA9">
        <w:rPr>
          <w:rFonts w:ascii="Times New Roman" w:hAnsi="Times New Roman" w:cs="Times New Roman"/>
          <w:sz w:val="24"/>
          <w:szCs w:val="24"/>
        </w:rPr>
        <w:t xml:space="preserve"> Кодекса, подлежат налогообложению налогом на прибыль организаций в общеустановленном порядке.</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Доходы саморегулируемой организации, являющейся в соответствии с </w:t>
      </w:r>
      <w:hyperlink r:id="rId28" w:history="1">
        <w:r w:rsidRPr="002B5FA9">
          <w:rPr>
            <w:rFonts w:ascii="Times New Roman" w:hAnsi="Times New Roman" w:cs="Times New Roman"/>
            <w:sz w:val="24"/>
            <w:szCs w:val="24"/>
          </w:rPr>
          <w:t>Законом</w:t>
        </w:r>
      </w:hyperlink>
      <w:r w:rsidRPr="002B5FA9">
        <w:rPr>
          <w:rFonts w:ascii="Times New Roman" w:hAnsi="Times New Roman" w:cs="Times New Roman"/>
          <w:sz w:val="24"/>
          <w:szCs w:val="24"/>
        </w:rPr>
        <w:t xml:space="preserve"> N 315-ФЗ некоммерческой организацией, от инвестирования средств компенсационного фонда не отнесены </w:t>
      </w:r>
      <w:hyperlink r:id="rId29" w:history="1">
        <w:r w:rsidRPr="002B5FA9">
          <w:rPr>
            <w:rFonts w:ascii="Times New Roman" w:hAnsi="Times New Roman" w:cs="Times New Roman"/>
            <w:sz w:val="24"/>
            <w:szCs w:val="24"/>
          </w:rPr>
          <w:t>Кодексом</w:t>
        </w:r>
      </w:hyperlink>
      <w:r w:rsidRPr="002B5FA9">
        <w:rPr>
          <w:rFonts w:ascii="Times New Roman" w:hAnsi="Times New Roman" w:cs="Times New Roman"/>
          <w:sz w:val="24"/>
          <w:szCs w:val="24"/>
        </w:rPr>
        <w:t xml:space="preserve"> к целевым поступлениям, не учитываемым при определении налоговой базы по налогу на прибыль организаций.</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В этой связи доходы саморегулируемой организации, полученные от размещения денежных средств на банковских счетах, от инвестирования средств компенсационного фонда саморегулируемой организации в ценные бумаги, подлежат учету в целях налогообложения прибыли в составе внереализационных доходов. Указанные доходы учитываются также в целях налогообложения налогом, уплачиваемым в связи с применением УСНО.</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При этом следует учитывать, что в соответствии со </w:t>
      </w:r>
      <w:hyperlink r:id="rId30" w:history="1">
        <w:r w:rsidRPr="002B5FA9">
          <w:rPr>
            <w:rFonts w:ascii="Times New Roman" w:hAnsi="Times New Roman" w:cs="Times New Roman"/>
            <w:sz w:val="24"/>
            <w:szCs w:val="24"/>
          </w:rPr>
          <w:t>ст. 2</w:t>
        </w:r>
      </w:hyperlink>
      <w:r w:rsidRPr="002B5FA9">
        <w:rPr>
          <w:rFonts w:ascii="Times New Roman" w:hAnsi="Times New Roman" w:cs="Times New Roman"/>
          <w:sz w:val="24"/>
          <w:szCs w:val="24"/>
        </w:rPr>
        <w:t xml:space="preserve"> Кодекса отношения по установлению, введению и взиманию налогов и сборов в Российской Федерации регулируются законодательством Российской Федерации о налогах и сборах.</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B5FA9">
        <w:rPr>
          <w:rFonts w:ascii="Times New Roman" w:hAnsi="Times New Roman" w:cs="Times New Roman"/>
          <w:sz w:val="24"/>
          <w:szCs w:val="24"/>
        </w:rPr>
        <w:t xml:space="preserve">В этой связи норма </w:t>
      </w:r>
      <w:hyperlink r:id="rId31" w:history="1">
        <w:r w:rsidRPr="002B5FA9">
          <w:rPr>
            <w:rFonts w:ascii="Times New Roman" w:hAnsi="Times New Roman" w:cs="Times New Roman"/>
            <w:sz w:val="24"/>
            <w:szCs w:val="24"/>
          </w:rPr>
          <w:t>ст. 13</w:t>
        </w:r>
      </w:hyperlink>
      <w:r w:rsidRPr="002B5FA9">
        <w:rPr>
          <w:rFonts w:ascii="Times New Roman" w:hAnsi="Times New Roman" w:cs="Times New Roman"/>
          <w:sz w:val="24"/>
          <w:szCs w:val="24"/>
        </w:rPr>
        <w:t xml:space="preserve"> Закона N 315-ФЗ, согласно которой доход, полученный от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 не является основанием для освобождения полученного дохода от налогообложения налогом на прибыль организаций, а также налогом, уплачиваемым в связи с применением УСНО.</w:t>
      </w:r>
      <w:proofErr w:type="gramEnd"/>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7. Ставки налога на прибыль организаций применительно к конкретному виду дохода установлены </w:t>
      </w:r>
      <w:hyperlink r:id="rId32" w:history="1">
        <w:r w:rsidRPr="002B5FA9">
          <w:rPr>
            <w:rFonts w:ascii="Times New Roman" w:hAnsi="Times New Roman" w:cs="Times New Roman"/>
            <w:sz w:val="24"/>
            <w:szCs w:val="24"/>
          </w:rPr>
          <w:t>ст. 284</w:t>
        </w:r>
      </w:hyperlink>
      <w:r w:rsidRPr="002B5FA9">
        <w:rPr>
          <w:rFonts w:ascii="Times New Roman" w:hAnsi="Times New Roman" w:cs="Times New Roman"/>
          <w:sz w:val="24"/>
          <w:szCs w:val="24"/>
        </w:rPr>
        <w:t xml:space="preserve"> Кодекса.</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В соответствии с положениями </w:t>
      </w:r>
      <w:hyperlink r:id="rId33" w:history="1">
        <w:r w:rsidRPr="002B5FA9">
          <w:rPr>
            <w:rFonts w:ascii="Times New Roman" w:hAnsi="Times New Roman" w:cs="Times New Roman"/>
            <w:sz w:val="24"/>
            <w:szCs w:val="24"/>
          </w:rPr>
          <w:t>ст. 346.20</w:t>
        </w:r>
      </w:hyperlink>
      <w:r w:rsidRPr="002B5FA9">
        <w:rPr>
          <w:rFonts w:ascii="Times New Roman" w:hAnsi="Times New Roman" w:cs="Times New Roman"/>
          <w:sz w:val="24"/>
          <w:szCs w:val="24"/>
        </w:rPr>
        <w:t xml:space="preserve"> Кодекса для организаций, применяющих УСНО с объектом налогообложения "доходы", ставка налога установлена в размере 6 процентов. В случае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При этом информируем, что согласно </w:t>
      </w:r>
      <w:hyperlink r:id="rId34" w:history="1">
        <w:r w:rsidRPr="002B5FA9">
          <w:rPr>
            <w:rFonts w:ascii="Times New Roman" w:hAnsi="Times New Roman" w:cs="Times New Roman"/>
            <w:sz w:val="24"/>
            <w:szCs w:val="24"/>
          </w:rPr>
          <w:t>п. 2 ст. 346.11</w:t>
        </w:r>
      </w:hyperlink>
      <w:r w:rsidRPr="002B5FA9">
        <w:rPr>
          <w:rFonts w:ascii="Times New Roman" w:hAnsi="Times New Roman" w:cs="Times New Roman"/>
          <w:sz w:val="24"/>
          <w:szCs w:val="24"/>
        </w:rPr>
        <w:t xml:space="preserve"> Кодекса применение УСНО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w:t>
      </w:r>
      <w:hyperlink r:id="rId35" w:history="1">
        <w:r w:rsidRPr="002B5FA9">
          <w:rPr>
            <w:rFonts w:ascii="Times New Roman" w:hAnsi="Times New Roman" w:cs="Times New Roman"/>
            <w:sz w:val="24"/>
            <w:szCs w:val="24"/>
          </w:rPr>
          <w:t>п. п. 3</w:t>
        </w:r>
      </w:hyperlink>
      <w:r w:rsidRPr="002B5FA9">
        <w:rPr>
          <w:rFonts w:ascii="Times New Roman" w:hAnsi="Times New Roman" w:cs="Times New Roman"/>
          <w:sz w:val="24"/>
          <w:szCs w:val="24"/>
        </w:rPr>
        <w:t xml:space="preserve"> и </w:t>
      </w:r>
      <w:hyperlink r:id="rId36" w:history="1">
        <w:r w:rsidRPr="002B5FA9">
          <w:rPr>
            <w:rFonts w:ascii="Times New Roman" w:hAnsi="Times New Roman" w:cs="Times New Roman"/>
            <w:sz w:val="24"/>
            <w:szCs w:val="24"/>
          </w:rPr>
          <w:t>4 ст. 284</w:t>
        </w:r>
      </w:hyperlink>
      <w:r w:rsidRPr="002B5FA9">
        <w:rPr>
          <w:rFonts w:ascii="Times New Roman" w:hAnsi="Times New Roman" w:cs="Times New Roman"/>
          <w:sz w:val="24"/>
          <w:szCs w:val="24"/>
        </w:rPr>
        <w:t xml:space="preserve"> Кодекса), налога на имущество организаций. Организации, применяющие УСНО,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w:t>
      </w:r>
      <w:hyperlink r:id="rId37" w:history="1">
        <w:r w:rsidRPr="002B5FA9">
          <w:rPr>
            <w:rFonts w:ascii="Times New Roman" w:hAnsi="Times New Roman" w:cs="Times New Roman"/>
            <w:sz w:val="24"/>
            <w:szCs w:val="24"/>
          </w:rPr>
          <w:t>Кодексом</w:t>
        </w:r>
      </w:hyperlink>
      <w:r w:rsidRPr="002B5FA9">
        <w:rPr>
          <w:rFonts w:ascii="Times New Roman" w:hAnsi="Times New Roman" w:cs="Times New Roman"/>
          <w:sz w:val="24"/>
          <w:szCs w:val="24"/>
        </w:rPr>
        <w:t xml:space="preserve"> при ввозе товаров на таможенную территорию Российской Федерации, а также налога на добавленную стоимость, уплачиваемого в соответствии со </w:t>
      </w:r>
      <w:hyperlink r:id="rId38" w:history="1">
        <w:r w:rsidRPr="002B5FA9">
          <w:rPr>
            <w:rFonts w:ascii="Times New Roman" w:hAnsi="Times New Roman" w:cs="Times New Roman"/>
            <w:sz w:val="24"/>
            <w:szCs w:val="24"/>
          </w:rPr>
          <w:t>ст. 174.1</w:t>
        </w:r>
      </w:hyperlink>
      <w:r w:rsidRPr="002B5FA9">
        <w:rPr>
          <w:rFonts w:ascii="Times New Roman" w:hAnsi="Times New Roman" w:cs="Times New Roman"/>
          <w:sz w:val="24"/>
          <w:szCs w:val="24"/>
        </w:rPr>
        <w:t xml:space="preserve"> Кодекса.</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8. </w:t>
      </w:r>
      <w:hyperlink r:id="rId39" w:history="1">
        <w:proofErr w:type="gramStart"/>
        <w:r w:rsidRPr="002B5FA9">
          <w:rPr>
            <w:rFonts w:ascii="Times New Roman" w:hAnsi="Times New Roman" w:cs="Times New Roman"/>
            <w:sz w:val="24"/>
            <w:szCs w:val="24"/>
          </w:rPr>
          <w:t>Порядок</w:t>
        </w:r>
      </w:hyperlink>
      <w:r w:rsidRPr="002B5FA9">
        <w:rPr>
          <w:rFonts w:ascii="Times New Roman" w:hAnsi="Times New Roman" w:cs="Times New Roman"/>
          <w:sz w:val="24"/>
          <w:szCs w:val="24"/>
        </w:rPr>
        <w:t xml:space="preserve"> заполнения </w:t>
      </w:r>
      <w:hyperlink r:id="rId40" w:history="1">
        <w:r w:rsidRPr="002B5FA9">
          <w:rPr>
            <w:rFonts w:ascii="Times New Roman" w:hAnsi="Times New Roman" w:cs="Times New Roman"/>
            <w:sz w:val="24"/>
            <w:szCs w:val="24"/>
          </w:rPr>
          <w:t>листа 07</w:t>
        </w:r>
      </w:hyperlink>
      <w:r w:rsidRPr="002B5FA9">
        <w:rPr>
          <w:rFonts w:ascii="Times New Roman" w:hAnsi="Times New Roman" w:cs="Times New Roman"/>
          <w:sz w:val="24"/>
          <w:szCs w:val="24"/>
        </w:rPr>
        <w:t xml:space="preserve">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формы налоговой </w:t>
      </w:r>
      <w:r w:rsidRPr="002B5FA9">
        <w:rPr>
          <w:rFonts w:ascii="Times New Roman" w:hAnsi="Times New Roman" w:cs="Times New Roman"/>
          <w:sz w:val="24"/>
          <w:szCs w:val="24"/>
        </w:rPr>
        <w:lastRenderedPageBreak/>
        <w:t xml:space="preserve">декларации по налогу на прибыль организаций (далее - Отчет) установлен Приказом Минфина России от 05.05.2008 N 54н и предусматривает, что </w:t>
      </w:r>
      <w:hyperlink r:id="rId41" w:history="1">
        <w:r w:rsidRPr="002B5FA9">
          <w:rPr>
            <w:rFonts w:ascii="Times New Roman" w:hAnsi="Times New Roman" w:cs="Times New Roman"/>
            <w:sz w:val="24"/>
            <w:szCs w:val="24"/>
          </w:rPr>
          <w:t>Отчет</w:t>
        </w:r>
      </w:hyperlink>
      <w:r w:rsidRPr="002B5FA9">
        <w:rPr>
          <w:rFonts w:ascii="Times New Roman" w:hAnsi="Times New Roman" w:cs="Times New Roman"/>
          <w:sz w:val="24"/>
          <w:szCs w:val="24"/>
        </w:rPr>
        <w:t xml:space="preserve"> составляют налогоплательщики, получившие средства целевого финансирования, целевые поступления и другие средства, указанные в</w:t>
      </w:r>
      <w:proofErr w:type="gramEnd"/>
      <w:r w:rsidRPr="002B5FA9">
        <w:rPr>
          <w:rFonts w:ascii="Times New Roman" w:hAnsi="Times New Roman" w:cs="Times New Roman"/>
          <w:sz w:val="24"/>
          <w:szCs w:val="24"/>
        </w:rPr>
        <w:t xml:space="preserve"> </w:t>
      </w:r>
      <w:hyperlink r:id="rId42" w:history="1">
        <w:r w:rsidRPr="002B5FA9">
          <w:rPr>
            <w:rFonts w:ascii="Times New Roman" w:hAnsi="Times New Roman" w:cs="Times New Roman"/>
            <w:sz w:val="24"/>
            <w:szCs w:val="24"/>
          </w:rPr>
          <w:t>п. п. 1</w:t>
        </w:r>
      </w:hyperlink>
      <w:r w:rsidRPr="002B5FA9">
        <w:rPr>
          <w:rFonts w:ascii="Times New Roman" w:hAnsi="Times New Roman" w:cs="Times New Roman"/>
          <w:sz w:val="24"/>
          <w:szCs w:val="24"/>
        </w:rPr>
        <w:t xml:space="preserve"> и </w:t>
      </w:r>
      <w:hyperlink r:id="rId43" w:history="1">
        <w:r w:rsidRPr="002B5FA9">
          <w:rPr>
            <w:rFonts w:ascii="Times New Roman" w:hAnsi="Times New Roman" w:cs="Times New Roman"/>
            <w:sz w:val="24"/>
            <w:szCs w:val="24"/>
          </w:rPr>
          <w:t>2 ст. 251</w:t>
        </w:r>
      </w:hyperlink>
      <w:r w:rsidRPr="002B5FA9">
        <w:rPr>
          <w:rFonts w:ascii="Times New Roman" w:hAnsi="Times New Roman" w:cs="Times New Roman"/>
          <w:sz w:val="24"/>
          <w:szCs w:val="24"/>
        </w:rPr>
        <w:t xml:space="preserve"> Кодекса. В </w:t>
      </w:r>
      <w:hyperlink r:id="rId44" w:history="1">
        <w:r w:rsidRPr="002B5FA9">
          <w:rPr>
            <w:rFonts w:ascii="Times New Roman" w:hAnsi="Times New Roman" w:cs="Times New Roman"/>
            <w:sz w:val="24"/>
            <w:szCs w:val="24"/>
          </w:rPr>
          <w:t>Отчет</w:t>
        </w:r>
      </w:hyperlink>
      <w:r w:rsidRPr="002B5FA9">
        <w:rPr>
          <w:rFonts w:ascii="Times New Roman" w:hAnsi="Times New Roman" w:cs="Times New Roman"/>
          <w:sz w:val="24"/>
          <w:szCs w:val="24"/>
        </w:rPr>
        <w:t xml:space="preserve"> не включаются средства в виде бюджетных ассигнований, выделяемых бюджетным учреждениям, средства в виде субсидий автономным учреждениям.</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B5FA9">
        <w:rPr>
          <w:rFonts w:ascii="Times New Roman" w:hAnsi="Times New Roman" w:cs="Times New Roman"/>
          <w:sz w:val="24"/>
          <w:szCs w:val="24"/>
        </w:rPr>
        <w:t xml:space="preserve">С учетом изложенного в </w:t>
      </w:r>
      <w:hyperlink w:anchor="Par39" w:history="1">
        <w:r w:rsidRPr="002B5FA9">
          <w:rPr>
            <w:rFonts w:ascii="Times New Roman" w:hAnsi="Times New Roman" w:cs="Times New Roman"/>
            <w:sz w:val="24"/>
            <w:szCs w:val="24"/>
          </w:rPr>
          <w:t>п. 3</w:t>
        </w:r>
      </w:hyperlink>
      <w:r w:rsidRPr="002B5FA9">
        <w:rPr>
          <w:rFonts w:ascii="Times New Roman" w:hAnsi="Times New Roman" w:cs="Times New Roman"/>
          <w:sz w:val="24"/>
          <w:szCs w:val="24"/>
        </w:rPr>
        <w:t xml:space="preserve"> настоящего письма полагаем, что саморегулируемая организация отражает в </w:t>
      </w:r>
      <w:hyperlink r:id="rId45" w:history="1">
        <w:r w:rsidRPr="002B5FA9">
          <w:rPr>
            <w:rFonts w:ascii="Times New Roman" w:hAnsi="Times New Roman" w:cs="Times New Roman"/>
            <w:sz w:val="24"/>
            <w:szCs w:val="24"/>
          </w:rPr>
          <w:t>Отчете</w:t>
        </w:r>
      </w:hyperlink>
      <w:r w:rsidRPr="002B5FA9">
        <w:rPr>
          <w:rFonts w:ascii="Times New Roman" w:hAnsi="Times New Roman" w:cs="Times New Roman"/>
          <w:sz w:val="24"/>
          <w:szCs w:val="24"/>
        </w:rPr>
        <w:t xml:space="preserve"> полученные взносы в компенсационный фонд в качестве целевых поступлений в виде вступительного взноса с кодом вида поступлений </w:t>
      </w:r>
      <w:hyperlink r:id="rId46" w:history="1">
        <w:r w:rsidRPr="002B5FA9">
          <w:rPr>
            <w:rFonts w:ascii="Times New Roman" w:hAnsi="Times New Roman" w:cs="Times New Roman"/>
            <w:sz w:val="24"/>
            <w:szCs w:val="24"/>
          </w:rPr>
          <w:t>120</w:t>
        </w:r>
      </w:hyperlink>
      <w:r w:rsidRPr="002B5FA9">
        <w:rPr>
          <w:rFonts w:ascii="Times New Roman" w:hAnsi="Times New Roman" w:cs="Times New Roman"/>
          <w:sz w:val="24"/>
          <w:szCs w:val="24"/>
        </w:rPr>
        <w:t xml:space="preserve"> (Приложение N 3 к Порядку заполнения налоговой декларации по налогу на прибыль организаций, утвержденному Приказом Минфина России от 05.05.2008 N 54н).</w:t>
      </w:r>
      <w:proofErr w:type="gramEnd"/>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9. В соответствии с </w:t>
      </w:r>
      <w:hyperlink r:id="rId47" w:history="1">
        <w:proofErr w:type="spellStart"/>
        <w:r w:rsidRPr="002B5FA9">
          <w:rPr>
            <w:rFonts w:ascii="Times New Roman" w:hAnsi="Times New Roman" w:cs="Times New Roman"/>
            <w:sz w:val="24"/>
            <w:szCs w:val="24"/>
          </w:rPr>
          <w:t>пп</w:t>
        </w:r>
        <w:proofErr w:type="spellEnd"/>
        <w:r w:rsidRPr="002B5FA9">
          <w:rPr>
            <w:rFonts w:ascii="Times New Roman" w:hAnsi="Times New Roman" w:cs="Times New Roman"/>
            <w:sz w:val="24"/>
            <w:szCs w:val="24"/>
          </w:rPr>
          <w:t>. 2 п. 2 ст. 23</w:t>
        </w:r>
      </w:hyperlink>
      <w:r w:rsidRPr="002B5FA9">
        <w:rPr>
          <w:rFonts w:ascii="Times New Roman" w:hAnsi="Times New Roman" w:cs="Times New Roman"/>
          <w:sz w:val="24"/>
          <w:szCs w:val="24"/>
        </w:rPr>
        <w:t xml:space="preserve"> Кодекса налогоплательщики-организации помимо обязанностей, предусмотренных </w:t>
      </w:r>
      <w:hyperlink r:id="rId48" w:history="1">
        <w:r w:rsidRPr="002B5FA9">
          <w:rPr>
            <w:rFonts w:ascii="Times New Roman" w:hAnsi="Times New Roman" w:cs="Times New Roman"/>
            <w:sz w:val="24"/>
            <w:szCs w:val="24"/>
          </w:rPr>
          <w:t>п. 1 указанной статьи</w:t>
        </w:r>
      </w:hyperlink>
      <w:r w:rsidRPr="002B5FA9">
        <w:rPr>
          <w:rFonts w:ascii="Times New Roman" w:hAnsi="Times New Roman" w:cs="Times New Roman"/>
          <w:sz w:val="24"/>
          <w:szCs w:val="24"/>
        </w:rPr>
        <w:t>, обязаны письменно сообщать в налоговый орган по месту нахождения организации обо всех случаях участия в российских и иностранных организациях в срок не позднее одного месяца со дня начала такого участия.</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Согласно </w:t>
      </w:r>
      <w:hyperlink r:id="rId49" w:history="1">
        <w:r w:rsidRPr="002B5FA9">
          <w:rPr>
            <w:rFonts w:ascii="Times New Roman" w:hAnsi="Times New Roman" w:cs="Times New Roman"/>
            <w:sz w:val="24"/>
            <w:szCs w:val="24"/>
          </w:rPr>
          <w:t>п. 3 ст. 2</w:t>
        </w:r>
      </w:hyperlink>
      <w:r w:rsidRPr="002B5FA9">
        <w:rPr>
          <w:rFonts w:ascii="Times New Roman" w:hAnsi="Times New Roman" w:cs="Times New Roman"/>
          <w:sz w:val="24"/>
          <w:szCs w:val="24"/>
        </w:rPr>
        <w:t xml:space="preserve"> Закона N 315-ФЗ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50" w:history="1">
        <w:r w:rsidRPr="002B5FA9">
          <w:rPr>
            <w:rFonts w:ascii="Times New Roman" w:hAnsi="Times New Roman" w:cs="Times New Roman"/>
            <w:sz w:val="24"/>
            <w:szCs w:val="24"/>
          </w:rPr>
          <w:t>кодексом</w:t>
        </w:r>
      </w:hyperlink>
      <w:r w:rsidRPr="002B5FA9">
        <w:rPr>
          <w:rFonts w:ascii="Times New Roman" w:hAnsi="Times New Roman" w:cs="Times New Roman"/>
          <w:sz w:val="24"/>
          <w:szCs w:val="24"/>
        </w:rPr>
        <w:t xml:space="preserve"> Российской Федерации предпринимательскую деятельность.</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Учитывая </w:t>
      </w:r>
      <w:proofErr w:type="gramStart"/>
      <w:r w:rsidRPr="002B5FA9">
        <w:rPr>
          <w:rFonts w:ascii="Times New Roman" w:hAnsi="Times New Roman" w:cs="Times New Roman"/>
          <w:sz w:val="24"/>
          <w:szCs w:val="24"/>
        </w:rPr>
        <w:t>изложенное</w:t>
      </w:r>
      <w:proofErr w:type="gramEnd"/>
      <w:r w:rsidRPr="002B5FA9">
        <w:rPr>
          <w:rFonts w:ascii="Times New Roman" w:hAnsi="Times New Roman" w:cs="Times New Roman"/>
          <w:sz w:val="24"/>
          <w:szCs w:val="24"/>
        </w:rPr>
        <w:t>, организации, являющиеся членами саморегулируемой организации, обязаны сообщать в налоговый орган по месту своего нахождения обо всех случаях участия в российских и иностранных организациях, в том числе и об участии в саморегулируемой организации.</w:t>
      </w:r>
    </w:p>
    <w:p w:rsidR="000B3B5E" w:rsidRPr="002B5FA9" w:rsidRDefault="002B5FA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0B3B5E" w:rsidRPr="002B5FA9">
          <w:rPr>
            <w:rFonts w:ascii="Times New Roman" w:hAnsi="Times New Roman" w:cs="Times New Roman"/>
            <w:sz w:val="24"/>
            <w:szCs w:val="24"/>
          </w:rPr>
          <w:t>Форма</w:t>
        </w:r>
      </w:hyperlink>
      <w:r w:rsidR="000B3B5E" w:rsidRPr="002B5FA9">
        <w:rPr>
          <w:rFonts w:ascii="Times New Roman" w:hAnsi="Times New Roman" w:cs="Times New Roman"/>
          <w:sz w:val="24"/>
          <w:szCs w:val="24"/>
        </w:rPr>
        <w:t xml:space="preserve"> сообщения об участии в российских и иностранных организациях утверждена Приказом ФНС России от 21.04.2009 N ММ-7-6/252@ "Об утверждении форм сообщений налогоплательщиками сведений, предусмотренных пунктами 2, 3 статьи 23 Налогового кодекса Российской Федерации".</w:t>
      </w:r>
    </w:p>
    <w:p w:rsidR="000B3B5E" w:rsidRPr="002B5FA9" w:rsidRDefault="000B3B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B5FA9">
        <w:rPr>
          <w:rFonts w:ascii="Times New Roman" w:hAnsi="Times New Roman" w:cs="Times New Roman"/>
          <w:sz w:val="24"/>
          <w:szCs w:val="24"/>
        </w:rPr>
        <w:t xml:space="preserve">Непредставление в установленный срок налогоплательщиком в налоговые органы документов и (или) иных сведений, предусмотренных Кодексом и иными актами законодательства о налогах и сборах, влечет взыскание штрафа в соответствии со </w:t>
      </w:r>
      <w:hyperlink r:id="rId52" w:history="1">
        <w:r w:rsidRPr="002B5FA9">
          <w:rPr>
            <w:rFonts w:ascii="Times New Roman" w:hAnsi="Times New Roman" w:cs="Times New Roman"/>
            <w:sz w:val="24"/>
            <w:szCs w:val="24"/>
          </w:rPr>
          <w:t>ст. 126</w:t>
        </w:r>
      </w:hyperlink>
      <w:r w:rsidRPr="002B5FA9">
        <w:rPr>
          <w:rFonts w:ascii="Times New Roman" w:hAnsi="Times New Roman" w:cs="Times New Roman"/>
          <w:sz w:val="24"/>
          <w:szCs w:val="24"/>
        </w:rPr>
        <w:t xml:space="preserve"> Кодекса.</w:t>
      </w:r>
    </w:p>
    <w:p w:rsidR="000B3B5E" w:rsidRPr="002B5FA9" w:rsidRDefault="000B3B5E">
      <w:pPr>
        <w:widowControl w:val="0"/>
        <w:autoSpaceDE w:val="0"/>
        <w:autoSpaceDN w:val="0"/>
        <w:adjustRightInd w:val="0"/>
        <w:spacing w:after="0" w:line="240" w:lineRule="auto"/>
        <w:jc w:val="both"/>
        <w:rPr>
          <w:rFonts w:ascii="Times New Roman" w:hAnsi="Times New Roman" w:cs="Times New Roman"/>
          <w:sz w:val="24"/>
          <w:szCs w:val="24"/>
        </w:rPr>
      </w:pPr>
    </w:p>
    <w:p w:rsidR="000B3B5E" w:rsidRPr="002B5FA9" w:rsidRDefault="000B3B5E">
      <w:pPr>
        <w:widowControl w:val="0"/>
        <w:autoSpaceDE w:val="0"/>
        <w:autoSpaceDN w:val="0"/>
        <w:adjustRightInd w:val="0"/>
        <w:spacing w:after="0" w:line="240" w:lineRule="auto"/>
        <w:jc w:val="right"/>
        <w:rPr>
          <w:rFonts w:ascii="Times New Roman" w:hAnsi="Times New Roman" w:cs="Times New Roman"/>
          <w:sz w:val="24"/>
          <w:szCs w:val="24"/>
        </w:rPr>
      </w:pPr>
      <w:r w:rsidRPr="002B5FA9">
        <w:rPr>
          <w:rFonts w:ascii="Times New Roman" w:hAnsi="Times New Roman" w:cs="Times New Roman"/>
          <w:sz w:val="24"/>
          <w:szCs w:val="24"/>
        </w:rPr>
        <w:t>Заместитель директора</w:t>
      </w:r>
    </w:p>
    <w:p w:rsidR="000B3B5E" w:rsidRPr="002B5FA9" w:rsidRDefault="000B3B5E">
      <w:pPr>
        <w:widowControl w:val="0"/>
        <w:autoSpaceDE w:val="0"/>
        <w:autoSpaceDN w:val="0"/>
        <w:adjustRightInd w:val="0"/>
        <w:spacing w:after="0" w:line="240" w:lineRule="auto"/>
        <w:jc w:val="right"/>
        <w:rPr>
          <w:rFonts w:ascii="Times New Roman" w:hAnsi="Times New Roman" w:cs="Times New Roman"/>
          <w:sz w:val="24"/>
          <w:szCs w:val="24"/>
        </w:rPr>
      </w:pPr>
      <w:r w:rsidRPr="002B5FA9">
        <w:rPr>
          <w:rFonts w:ascii="Times New Roman" w:hAnsi="Times New Roman" w:cs="Times New Roman"/>
          <w:sz w:val="24"/>
          <w:szCs w:val="24"/>
        </w:rPr>
        <w:t xml:space="preserve">Департамента </w:t>
      </w:r>
      <w:proofErr w:type="gramStart"/>
      <w:r w:rsidRPr="002B5FA9">
        <w:rPr>
          <w:rFonts w:ascii="Times New Roman" w:hAnsi="Times New Roman" w:cs="Times New Roman"/>
          <w:sz w:val="24"/>
          <w:szCs w:val="24"/>
        </w:rPr>
        <w:t>налоговой</w:t>
      </w:r>
      <w:proofErr w:type="gramEnd"/>
    </w:p>
    <w:p w:rsidR="000B3B5E" w:rsidRPr="002B5FA9" w:rsidRDefault="000B3B5E">
      <w:pPr>
        <w:widowControl w:val="0"/>
        <w:autoSpaceDE w:val="0"/>
        <w:autoSpaceDN w:val="0"/>
        <w:adjustRightInd w:val="0"/>
        <w:spacing w:after="0" w:line="240" w:lineRule="auto"/>
        <w:jc w:val="right"/>
        <w:rPr>
          <w:rFonts w:ascii="Times New Roman" w:hAnsi="Times New Roman" w:cs="Times New Roman"/>
          <w:sz w:val="24"/>
          <w:szCs w:val="24"/>
        </w:rPr>
      </w:pPr>
      <w:r w:rsidRPr="002B5FA9">
        <w:rPr>
          <w:rFonts w:ascii="Times New Roman" w:hAnsi="Times New Roman" w:cs="Times New Roman"/>
          <w:sz w:val="24"/>
          <w:szCs w:val="24"/>
        </w:rPr>
        <w:t>и таможенно-тарифной политики</w:t>
      </w:r>
    </w:p>
    <w:p w:rsidR="000B3B5E" w:rsidRPr="002B5FA9" w:rsidRDefault="000B3B5E">
      <w:pPr>
        <w:widowControl w:val="0"/>
        <w:autoSpaceDE w:val="0"/>
        <w:autoSpaceDN w:val="0"/>
        <w:adjustRightInd w:val="0"/>
        <w:spacing w:after="0" w:line="240" w:lineRule="auto"/>
        <w:jc w:val="right"/>
        <w:rPr>
          <w:rFonts w:ascii="Times New Roman" w:hAnsi="Times New Roman" w:cs="Times New Roman"/>
          <w:sz w:val="24"/>
          <w:szCs w:val="24"/>
        </w:rPr>
      </w:pPr>
      <w:r w:rsidRPr="002B5FA9">
        <w:rPr>
          <w:rFonts w:ascii="Times New Roman" w:hAnsi="Times New Roman" w:cs="Times New Roman"/>
          <w:sz w:val="24"/>
          <w:szCs w:val="24"/>
        </w:rPr>
        <w:t>С.В.РАЗГУЛИН</w:t>
      </w:r>
    </w:p>
    <w:p w:rsidR="005B4934" w:rsidRPr="002B5FA9" w:rsidRDefault="005B4934">
      <w:pPr>
        <w:rPr>
          <w:rFonts w:ascii="Times New Roman" w:hAnsi="Times New Roman" w:cs="Times New Roman"/>
          <w:sz w:val="24"/>
          <w:szCs w:val="24"/>
        </w:rPr>
      </w:pPr>
      <w:bookmarkStart w:id="1" w:name="_GoBack"/>
      <w:bookmarkEnd w:id="1"/>
    </w:p>
    <w:sectPr w:rsidR="005B4934" w:rsidRPr="002B5FA9" w:rsidSect="00EC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5E"/>
    <w:rsid w:val="000B3B5E"/>
    <w:rsid w:val="002B5FA9"/>
    <w:rsid w:val="005B4934"/>
    <w:rsid w:val="00C21FBF"/>
    <w:rsid w:val="00C53049"/>
    <w:rsid w:val="00E5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0D16E7321D2FCBB96079831ED45391787DE3B5BE942C2A3A45FC3D7A0ED1EC76BB8EFD3AE024EE690545D" TargetMode="External"/><Relationship Id="rId18" Type="http://schemas.openxmlformats.org/officeDocument/2006/relationships/hyperlink" Target="consultantplus://offline/ref=5D0D16E7321D2FCBB96079831ED45391787DE3B5BD9B222A3A45FC3D7A0ED1EC76BB8EFD3AE027EF690546D" TargetMode="External"/><Relationship Id="rId26" Type="http://schemas.openxmlformats.org/officeDocument/2006/relationships/hyperlink" Target="consultantplus://offline/ref=5D0D16E7321D2FCBB96079831ED45391787DE3B5BD9B222A3A45FC3D7A0ED1EC76BB8EFD3FE7230E4CD" TargetMode="External"/><Relationship Id="rId39" Type="http://schemas.openxmlformats.org/officeDocument/2006/relationships/hyperlink" Target="consultantplus://offline/ref=5D0D16E7321D2FCBB96079831ED453917875E4B6B89C2177304DA5317809DEB361BCC7F13BE125E5064FD" TargetMode="External"/><Relationship Id="rId3" Type="http://schemas.openxmlformats.org/officeDocument/2006/relationships/settings" Target="settings.xml"/><Relationship Id="rId21" Type="http://schemas.openxmlformats.org/officeDocument/2006/relationships/hyperlink" Target="consultantplus://offline/ref=5D0D16E7321D2FCBB96079831ED45391787DE3B5BD9B222A3A45FC3D7A0ED1EC76BB8EFD3AE026EA6A0542D" TargetMode="External"/><Relationship Id="rId34" Type="http://schemas.openxmlformats.org/officeDocument/2006/relationships/hyperlink" Target="consultantplus://offline/ref=5D0D16E7321D2FCBB96079831ED45391787DE3B5BD9B222A3A45FC3D7A0ED1EC76BB8EFD3FE5250E4ED" TargetMode="External"/><Relationship Id="rId42" Type="http://schemas.openxmlformats.org/officeDocument/2006/relationships/hyperlink" Target="consultantplus://offline/ref=5D0D16E7321D2FCBB96079831ED45391787DE3B5BD9B222A3A45FC3D7A0ED1EC76BB8EFD3AE024E4610542D" TargetMode="External"/><Relationship Id="rId47" Type="http://schemas.openxmlformats.org/officeDocument/2006/relationships/hyperlink" Target="consultantplus://offline/ref=5D0D16E7321D2FCBB96079831ED453917875EBB5BD9D2177304DA5317809DEB361BCC7F23E0E41D" TargetMode="External"/><Relationship Id="rId50" Type="http://schemas.openxmlformats.org/officeDocument/2006/relationships/hyperlink" Target="consultantplus://offline/ref=5D0D16E7321D2FCBB96079831ED453917875E6B3B8992177304DA5317809DEB361BCC7F13BE025ED0641D" TargetMode="External"/><Relationship Id="rId7" Type="http://schemas.openxmlformats.org/officeDocument/2006/relationships/hyperlink" Target="consultantplus://offline/ref=5D0D16E7321D2FCBB96079831ED45391787DE3B4B79A2C2A3A45FC3D7A0E0D41D" TargetMode="External"/><Relationship Id="rId12" Type="http://schemas.openxmlformats.org/officeDocument/2006/relationships/hyperlink" Target="consultantplus://offline/ref=5D0D16E7321D2FCBB96079831ED45391787DE3B5BE942C2A3A45FC3D7A0ED1EC76BB8EFD3AE024EE680543D" TargetMode="External"/><Relationship Id="rId17" Type="http://schemas.openxmlformats.org/officeDocument/2006/relationships/hyperlink" Target="consultantplus://offline/ref=5D0D16E7321D2FCBB96079831ED45391787DE3B5BD9B222A3A45FC3D7A0ED1EC76BB8EFD3AE024E56D0543D" TargetMode="External"/><Relationship Id="rId25" Type="http://schemas.openxmlformats.org/officeDocument/2006/relationships/hyperlink" Target="consultantplus://offline/ref=5D0D16E7321D2FCBB96079831ED45391787DE3B5BD9B222A3A45FC3D7A0ED1EC76BB8EFD3AE024E4610544D" TargetMode="External"/><Relationship Id="rId33" Type="http://schemas.openxmlformats.org/officeDocument/2006/relationships/hyperlink" Target="consultantplus://offline/ref=5D0D16E7321D2FCBB96079831ED45391787DE3B5BD9B222A3A45FC3D7A0ED1EC76BB8EFD3AE026EA600541D" TargetMode="External"/><Relationship Id="rId38" Type="http://schemas.openxmlformats.org/officeDocument/2006/relationships/hyperlink" Target="consultantplus://offline/ref=5D0D16E7321D2FCBB96079831ED45391787DE3B5BD9B222A3A45FC3D7A0ED1EC76BB8EFD38E8250E4BD" TargetMode="External"/><Relationship Id="rId46" Type="http://schemas.openxmlformats.org/officeDocument/2006/relationships/hyperlink" Target="consultantplus://offline/ref=5D0D16E7321D2FCBB96079831ED453917875E4B6B89C2177304DA5317809DEB361BCC7F13BE127E9064ED" TargetMode="External"/><Relationship Id="rId2" Type="http://schemas.microsoft.com/office/2007/relationships/stylesWithEffects" Target="stylesWithEffects.xml"/><Relationship Id="rId16" Type="http://schemas.openxmlformats.org/officeDocument/2006/relationships/hyperlink" Target="consultantplus://offline/ref=5D0D16E7321D2FCBB96079831ED45391787DE3B5BD9B222A3A45FC3D7A0ED1EC76BB8EFD38E0230E45D" TargetMode="External"/><Relationship Id="rId20" Type="http://schemas.openxmlformats.org/officeDocument/2006/relationships/hyperlink" Target="consultantplus://offline/ref=5D0D16E7321D2FCBB96079831ED45391787DE3B5BE94222A3A45FC3D7A0E0D41D" TargetMode="External"/><Relationship Id="rId29" Type="http://schemas.openxmlformats.org/officeDocument/2006/relationships/hyperlink" Target="consultantplus://offline/ref=5D0D16E7321D2FCBB96079831ED45391787DE3B5BD9B222A3A45FC3D7A0ED1EC76BB8EFD3AE024E4610544D" TargetMode="External"/><Relationship Id="rId41" Type="http://schemas.openxmlformats.org/officeDocument/2006/relationships/hyperlink" Target="consultantplus://offline/ref=5D0D16E7321D2FCBB96079831ED453917875E4B6B89C2177304DA5317809DEB361BCC7F13BE020E8064C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D0D16E7321D2FCBB96079831ED453917875E6B3B8992177304DA5317809DEB361BCC7F13BE022ED064DD" TargetMode="External"/><Relationship Id="rId11" Type="http://schemas.openxmlformats.org/officeDocument/2006/relationships/hyperlink" Target="consultantplus://offline/ref=5D0D16E7321D2FCBB96079831ED45391787DE3B5BE942C2A3A45FC3D7A0ED1EC76BB8EFD3AE024ED6B0542D" TargetMode="External"/><Relationship Id="rId24" Type="http://schemas.openxmlformats.org/officeDocument/2006/relationships/hyperlink" Target="consultantplus://offline/ref=5D0D16E7321D2FCBB96079831ED45391787DE3B5BD9B222A3A45FC3D7A0ED1EC76BB8EFD3AE024E4610544D" TargetMode="External"/><Relationship Id="rId32" Type="http://schemas.openxmlformats.org/officeDocument/2006/relationships/hyperlink" Target="consultantplus://offline/ref=5D0D16E7321D2FCBB96079831ED45391787DE3B5BD9B222A3A45FC3D7A0ED1EC76BB8EFD3AE027EA6D0546D" TargetMode="External"/><Relationship Id="rId37" Type="http://schemas.openxmlformats.org/officeDocument/2006/relationships/hyperlink" Target="consultantplus://offline/ref=5D0D16E7321D2FCBB96079831ED45391787DE3B5BD9B222A3A45FC3D7A0ED1EC76BB8EFD3AE025EE680543D" TargetMode="External"/><Relationship Id="rId40" Type="http://schemas.openxmlformats.org/officeDocument/2006/relationships/hyperlink" Target="consultantplus://offline/ref=5D0D16E7321D2FCBB96079831ED453917875E4B6B89C2177304DA5317809DEB361BCC7F13BE020E8064CD" TargetMode="External"/><Relationship Id="rId45" Type="http://schemas.openxmlformats.org/officeDocument/2006/relationships/hyperlink" Target="consultantplus://offline/ref=5D0D16E7321D2FCBB96079831ED453917875E4B6B89C2177304DA5317809DEB361BCC7F13BE020E8064CD" TargetMode="External"/><Relationship Id="rId53" Type="http://schemas.openxmlformats.org/officeDocument/2006/relationships/fontTable" Target="fontTable.xml"/><Relationship Id="rId5" Type="http://schemas.openxmlformats.org/officeDocument/2006/relationships/hyperlink" Target="consultantplus://offline/ref=5D0D16E7321D2FCBB96079831ED45391787DE3B5BE94222A3A45FC3D7A0ED1EC76BB8EFD3AE025EC690541D" TargetMode="External"/><Relationship Id="rId15" Type="http://schemas.openxmlformats.org/officeDocument/2006/relationships/hyperlink" Target="consultantplus://offline/ref=5D0D16E7321D2FCBB96079831ED45391787DE3B5BD9B222A3A45FC3D7A0ED1EC76BB8EFD3AE027EE6B054ED" TargetMode="External"/><Relationship Id="rId23" Type="http://schemas.openxmlformats.org/officeDocument/2006/relationships/hyperlink" Target="consultantplus://offline/ref=5D0D16E7321D2FCBB96079831ED45391787DE3B5BD9B222A3A45FC3D7A0ED1EC76BB8EFD3AE024E4610544D" TargetMode="External"/><Relationship Id="rId28" Type="http://schemas.openxmlformats.org/officeDocument/2006/relationships/hyperlink" Target="consultantplus://offline/ref=5D0D16E7321D2FCBB96079831ED45391787DE3B5BE94222A3A45FC3D7A0ED1EC76BB8EFD3AE025EC690541D" TargetMode="External"/><Relationship Id="rId36" Type="http://schemas.openxmlformats.org/officeDocument/2006/relationships/hyperlink" Target="consultantplus://offline/ref=5D0D16E7321D2FCBB96079831ED45391787DE3B5BD9B222A3A45FC3D7A0ED1EC76BB8EFD3DE90241D" TargetMode="External"/><Relationship Id="rId49" Type="http://schemas.openxmlformats.org/officeDocument/2006/relationships/hyperlink" Target="consultantplus://offline/ref=5D0D16E7321D2FCBB96079831ED45391787DE3B5BE94222A3A45FC3D7A0ED1EC76BB8EFD3AE025EE6E0542D" TargetMode="External"/><Relationship Id="rId10" Type="http://schemas.openxmlformats.org/officeDocument/2006/relationships/hyperlink" Target="consultantplus://offline/ref=5D0D16E7321D2FCBB96079831ED45391787DE3B5BE942C2A3A45FC3D7A0ED1EC76BB8EFD3AE024ED6B0544D" TargetMode="External"/><Relationship Id="rId19" Type="http://schemas.openxmlformats.org/officeDocument/2006/relationships/hyperlink" Target="consultantplus://offline/ref=5D0D16E7321D2FCBB96079831ED45391787DE3B5BD9B222A3A45FC3D7A0ED1EC76BB8EFD3FE7230E4CD" TargetMode="External"/><Relationship Id="rId31" Type="http://schemas.openxmlformats.org/officeDocument/2006/relationships/hyperlink" Target="consultantplus://offline/ref=5D0D16E7321D2FCBB96079831ED45391787DE3B5BE94222A3A45FC3D7A0ED1EC76BB8EFD3AE025ED6B0541D" TargetMode="External"/><Relationship Id="rId44" Type="http://schemas.openxmlformats.org/officeDocument/2006/relationships/hyperlink" Target="consultantplus://offline/ref=5D0D16E7321D2FCBB96079831ED453917875E4B6B89C2177304DA5317809DEB361BCC7F13BE020E8064CD" TargetMode="External"/><Relationship Id="rId52" Type="http://schemas.openxmlformats.org/officeDocument/2006/relationships/hyperlink" Target="consultantplus://offline/ref=5D0D16E7321D2FCBB96079831ED453917875EBB5BD9D2177304DA5317809DEB361BCC7F93B0E46D" TargetMode="External"/><Relationship Id="rId4" Type="http://schemas.openxmlformats.org/officeDocument/2006/relationships/webSettings" Target="webSettings.xml"/><Relationship Id="rId9" Type="http://schemas.openxmlformats.org/officeDocument/2006/relationships/hyperlink" Target="consultantplus://offline/ref=5D0D16E7321D2FCBB96079831ED45391787DE3B5BE942C2A3A45FC3D7A0ED1EC76BB8EFD3AE024ED6A0541D" TargetMode="External"/><Relationship Id="rId14" Type="http://schemas.openxmlformats.org/officeDocument/2006/relationships/hyperlink" Target="consultantplus://offline/ref=5D0D16E7321D2FCBB96079831ED45391787DE3B5BE942C2A3A45FC3D7A0ED1EC76BB8EFD3AE024EE6A0546D" TargetMode="External"/><Relationship Id="rId22" Type="http://schemas.openxmlformats.org/officeDocument/2006/relationships/hyperlink" Target="consultantplus://offline/ref=5D0D16E7321D2FCBB96079831ED45391787DE3B5BD9B222A3A45FC3D7A0ED1EC76BB8EFD3FE1250E4BD" TargetMode="External"/><Relationship Id="rId27" Type="http://schemas.openxmlformats.org/officeDocument/2006/relationships/hyperlink" Target="consultantplus://offline/ref=5D0D16E7321D2FCBB96079831ED45391787DE3B5BD9B222A3A45FC3D7A0ED1EC76BB8EFD3AE024E4610544D" TargetMode="External"/><Relationship Id="rId30" Type="http://schemas.openxmlformats.org/officeDocument/2006/relationships/hyperlink" Target="consultantplus://offline/ref=5D0D16E7321D2FCBB96079831ED453917875EBB5BD9D2177304DA5317809DEB361BCC7F13BE025EE064CD" TargetMode="External"/><Relationship Id="rId35" Type="http://schemas.openxmlformats.org/officeDocument/2006/relationships/hyperlink" Target="consultantplus://offline/ref=5D0D16E7321D2FCBB96079831ED45391787DE3B5BD9B222A3A45FC3D7A0ED1EC76BB8EFD38E22C0E4AD" TargetMode="External"/><Relationship Id="rId43" Type="http://schemas.openxmlformats.org/officeDocument/2006/relationships/hyperlink" Target="consultantplus://offline/ref=5D0D16E7321D2FCBB96079831ED45391787DE3B5BD9B222A3A45FC3D7A0ED1EC76BB8EFD3FE7230E4CD" TargetMode="External"/><Relationship Id="rId48" Type="http://schemas.openxmlformats.org/officeDocument/2006/relationships/hyperlink" Target="consultantplus://offline/ref=5D0D16E7321D2FCBB96079831ED453917875EBB5BD9D2177304DA5317809DEB361BCC7F2380E49D" TargetMode="External"/><Relationship Id="rId8" Type="http://schemas.openxmlformats.org/officeDocument/2006/relationships/hyperlink" Target="consultantplus://offline/ref=5D0D16E7321D2FCBB96079831ED45391787DE3B5BE95222A3A45FC3D7A0E0D41D" TargetMode="External"/><Relationship Id="rId51" Type="http://schemas.openxmlformats.org/officeDocument/2006/relationships/hyperlink" Target="consultantplus://offline/ref=5D0D16E7321D2FCBB96079831ED453917874E4B0B7992177304DA5317809DEB361BCC7F13BE025E4064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Петренко</dc:creator>
  <cp:keywords/>
  <dc:description/>
  <cp:lastModifiedBy>Марина Александровна Петренко</cp:lastModifiedBy>
  <cp:revision>2</cp:revision>
  <dcterms:created xsi:type="dcterms:W3CDTF">2014-10-21T03:56:00Z</dcterms:created>
  <dcterms:modified xsi:type="dcterms:W3CDTF">2014-10-21T04:44:00Z</dcterms:modified>
</cp:coreProperties>
</file>